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7A08D" w14:textId="77777777" w:rsidR="00FB7CA0" w:rsidRPr="00904392" w:rsidRDefault="00FB7CA0" w:rsidP="00AC3321">
      <w:pPr>
        <w:spacing w:after="0" w:line="240" w:lineRule="auto"/>
        <w:rPr>
          <w:rFonts w:ascii="Arial Narrow" w:eastAsia="Times New Roman" w:hAnsi="Arial Narrow" w:cs="Arial"/>
          <w:lang w:eastAsia="ar-SA"/>
        </w:rPr>
      </w:pPr>
    </w:p>
    <w:p w14:paraId="09A72628" w14:textId="630F45DA" w:rsidR="00AC3321" w:rsidRPr="00904392" w:rsidRDefault="00AC3321" w:rsidP="00314CAD">
      <w:pPr>
        <w:spacing w:after="0" w:line="240" w:lineRule="auto"/>
        <w:jc w:val="right"/>
        <w:rPr>
          <w:rFonts w:ascii="Arial Narrow" w:eastAsia="Times New Roman" w:hAnsi="Arial Narrow" w:cs="Arial"/>
          <w:lang w:eastAsia="ar-SA"/>
        </w:rPr>
      </w:pPr>
      <w:r>
        <w:rPr>
          <w:rFonts w:ascii="Arial Narrow" w:eastAsia="Times New Roman" w:hAnsi="Arial Narrow" w:cs="Arial"/>
          <w:lang w:eastAsia="ar-SA"/>
        </w:rPr>
        <w:t>Bucaramanga,</w:t>
      </w:r>
      <w:proofErr w:type="gramStart"/>
      <w:r w:rsidR="00314CAD">
        <w:rPr>
          <w:rFonts w:ascii="Arial Narrow" w:eastAsia="Times New Roman" w:hAnsi="Arial Narrow" w:cs="Arial"/>
          <w:lang w:eastAsia="ar-SA"/>
        </w:rPr>
        <w:t xml:space="preserve">12 </w:t>
      </w:r>
      <w:r>
        <w:rPr>
          <w:rFonts w:ascii="Arial Narrow" w:eastAsia="Times New Roman" w:hAnsi="Arial Narrow" w:cs="Arial"/>
          <w:lang w:eastAsia="ar-SA"/>
        </w:rPr>
        <w:t xml:space="preserve"> de</w:t>
      </w:r>
      <w:proofErr w:type="gramEnd"/>
      <w:r>
        <w:rPr>
          <w:rFonts w:ascii="Arial Narrow" w:eastAsia="Times New Roman" w:hAnsi="Arial Narrow" w:cs="Arial"/>
          <w:lang w:eastAsia="ar-SA"/>
        </w:rPr>
        <w:t xml:space="preserve"> junio de 2026</w:t>
      </w:r>
    </w:p>
    <w:p w14:paraId="6C6F7357" w14:textId="77777777" w:rsidR="00AC3321" w:rsidRPr="00904392" w:rsidRDefault="00AC3321" w:rsidP="00AC3321">
      <w:pPr>
        <w:spacing w:after="0" w:line="240" w:lineRule="auto"/>
        <w:rPr>
          <w:rFonts w:ascii="Arial Narrow" w:eastAsia="Times New Roman" w:hAnsi="Arial Narrow" w:cs="Arial"/>
          <w:lang w:eastAsia="ar-SA"/>
        </w:rPr>
      </w:pPr>
      <w:r>
        <w:rPr>
          <w:rFonts w:ascii="Arial Narrow" w:eastAsia="Times New Roman" w:hAnsi="Arial Narrow" w:cs="Arial"/>
          <w:lang w:eastAsia="ar-SA"/>
        </w:rPr>
        <w:t xml:space="preserve">                            </w:t>
      </w:r>
    </w:p>
    <w:p w14:paraId="0AA8D442" w14:textId="77777777" w:rsidR="008F5210" w:rsidRPr="00904392" w:rsidRDefault="008F5210" w:rsidP="00AC3321">
      <w:pPr>
        <w:spacing w:after="0" w:line="240" w:lineRule="auto"/>
        <w:rPr>
          <w:rFonts w:ascii="Arial Narrow" w:eastAsia="Times New Roman" w:hAnsi="Arial Narrow" w:cs="Arial"/>
          <w:lang w:eastAsia="ar-SA"/>
        </w:rPr>
      </w:pPr>
    </w:p>
    <w:p w14:paraId="09E3A100" w14:textId="77777777" w:rsidR="00AC3321" w:rsidRPr="00904392" w:rsidRDefault="00AC3321" w:rsidP="00AC3321">
      <w:pPr>
        <w:spacing w:after="0" w:line="240" w:lineRule="auto"/>
        <w:rPr>
          <w:rFonts w:ascii="Arial Narrow" w:eastAsia="Times New Roman" w:hAnsi="Arial Narrow" w:cs="Arial"/>
          <w:lang w:eastAsia="ar-SA"/>
        </w:rPr>
      </w:pPr>
      <w:r>
        <w:rPr>
          <w:rFonts w:ascii="Arial Narrow" w:eastAsia="Times New Roman" w:hAnsi="Arial Narrow" w:cs="Arial"/>
          <w:lang w:eastAsia="ar-SA"/>
        </w:rPr>
        <w:t>Señora:</w:t>
      </w:r>
    </w:p>
    <w:p w14:paraId="7CA4393D" w14:textId="77777777" w:rsidR="00DD0421" w:rsidRPr="00904392" w:rsidRDefault="007D1A3E" w:rsidP="00AC3321">
      <w:pPr>
        <w:spacing w:after="0" w:line="240" w:lineRule="auto"/>
        <w:rPr>
          <w:rFonts w:ascii="Arial Narrow" w:eastAsia="Times New Roman" w:hAnsi="Arial Narrow" w:cs="Arial"/>
          <w:b/>
          <w:lang w:eastAsia="ar-SA"/>
        </w:rPr>
      </w:pPr>
      <w:bookmarkStart w:id="0" w:name="_Hlk222145513"/>
      <w:r>
        <w:rPr>
          <w:rFonts w:ascii="Arial Narrow" w:eastAsia="Times New Roman" w:hAnsi="Arial Narrow" w:cs="Arial"/>
          <w:b/>
          <w:lang w:eastAsia="ar-SA"/>
        </w:rPr>
        <w:t>DANIELA TORRES ZÁRATE</w:t>
      </w:r>
    </w:p>
    <w:bookmarkEnd w:id="0"/>
    <w:p w14:paraId="4334DADC" w14:textId="77777777" w:rsidR="00DD0421" w:rsidRPr="00904392" w:rsidRDefault="00AC3321" w:rsidP="00AC3321">
      <w:pPr>
        <w:spacing w:after="0" w:line="240" w:lineRule="auto"/>
        <w:rPr>
          <w:rFonts w:ascii="Arial Narrow" w:eastAsia="Times New Roman" w:hAnsi="Arial Narrow" w:cs="Arial"/>
          <w:lang w:eastAsia="ar-SA"/>
        </w:rPr>
      </w:pPr>
      <w:r>
        <w:rPr>
          <w:rFonts w:ascii="Arial Narrow" w:eastAsia="Times New Roman" w:hAnsi="Arial Narrow" w:cs="Arial"/>
          <w:lang w:eastAsia="ar-SA"/>
        </w:rPr>
        <w:t>Concejala del Municipio de Bucaramanga</w:t>
      </w:r>
    </w:p>
    <w:p w14:paraId="5DBD13F2" w14:textId="77777777" w:rsidR="00565F20" w:rsidRPr="00904392" w:rsidRDefault="00565F20" w:rsidP="00565F20">
      <w:pPr>
        <w:spacing w:after="0" w:line="240" w:lineRule="auto"/>
        <w:rPr>
          <w:rFonts w:ascii="Arial Narrow" w:eastAsia="Times New Roman" w:hAnsi="Arial Narrow" w:cs="Arial"/>
          <w:lang w:eastAsia="ar-SA"/>
        </w:rPr>
      </w:pPr>
      <w:r>
        <w:rPr>
          <w:rFonts w:ascii="Arial Narrow" w:eastAsia="Times New Roman" w:hAnsi="Arial Narrow" w:cs="Arial"/>
          <w:lang w:eastAsia="ar-SA"/>
        </w:rPr>
        <w:t xml:space="preserve">Correo: </w:t>
      </w:r>
      <w:hyperlink r:id="rId8" w:history="1">
        <w:r>
          <w:rPr>
            <w:rStyle w:val="Hipervnculo"/>
            <w:rFonts w:ascii="Arial Narrow" w:eastAsia="Times New Roman" w:hAnsi="Arial Narrow" w:cs="Arial"/>
            <w:lang w:eastAsia="ar-SA"/>
          </w:rPr>
          <w:t>daniela.torres.concejo@gmail.com</w:t>
        </w:r>
      </w:hyperlink>
      <w:r>
        <w:rPr>
          <w:rFonts w:ascii="Arial Narrow" w:eastAsia="Times New Roman" w:hAnsi="Arial Narrow" w:cs="Arial"/>
          <w:lang w:eastAsia="ar-SA"/>
        </w:rPr>
        <w:t xml:space="preserve"> </w:t>
      </w:r>
    </w:p>
    <w:p w14:paraId="39B30594" w14:textId="77777777" w:rsidR="00565F20" w:rsidRPr="00904392" w:rsidRDefault="00565F20" w:rsidP="00565F20">
      <w:pPr>
        <w:spacing w:after="0" w:line="240" w:lineRule="auto"/>
        <w:rPr>
          <w:rFonts w:ascii="Arial Narrow" w:eastAsia="Times New Roman" w:hAnsi="Arial Narrow" w:cs="Arial"/>
          <w:lang w:eastAsia="ar-SA"/>
        </w:rPr>
      </w:pPr>
      <w:r>
        <w:rPr>
          <w:rFonts w:ascii="Arial Narrow" w:eastAsia="Times New Roman" w:hAnsi="Arial Narrow" w:cs="Arial"/>
          <w:lang w:eastAsia="ar-SA"/>
        </w:rPr>
        <w:t>Ciudad</w:t>
      </w:r>
    </w:p>
    <w:p w14:paraId="23E9D05D" w14:textId="77777777" w:rsidR="00565F20" w:rsidRPr="00904392" w:rsidRDefault="00565F20" w:rsidP="00565F20">
      <w:pPr>
        <w:spacing w:after="0" w:line="240" w:lineRule="auto"/>
        <w:rPr>
          <w:rFonts w:ascii="Arial Narrow" w:eastAsia="Times New Roman" w:hAnsi="Arial Narrow" w:cs="Arial"/>
          <w:highlight w:val="yellow"/>
          <w:lang w:eastAsia="ar-SA"/>
        </w:rPr>
      </w:pPr>
    </w:p>
    <w:p w14:paraId="5BEB5234" w14:textId="77777777" w:rsidR="00565F20" w:rsidRPr="00904392" w:rsidRDefault="00565F20" w:rsidP="00565F20">
      <w:pPr>
        <w:spacing w:after="0" w:line="240" w:lineRule="auto"/>
        <w:rPr>
          <w:rFonts w:ascii="Arial Narrow" w:eastAsia="Times New Roman" w:hAnsi="Arial Narrow" w:cs="Arial"/>
          <w:b/>
          <w:lang w:eastAsia="ar-SA"/>
        </w:rPr>
      </w:pPr>
    </w:p>
    <w:p w14:paraId="6DBD8D99" w14:textId="77777777" w:rsidR="00565F20" w:rsidRPr="00904392" w:rsidRDefault="00565F20" w:rsidP="00565F20">
      <w:pPr>
        <w:spacing w:after="0" w:line="240" w:lineRule="auto"/>
        <w:ind w:left="708" w:firstLine="708"/>
        <w:rPr>
          <w:rFonts w:ascii="Arial Narrow" w:eastAsia="Times New Roman" w:hAnsi="Arial Narrow" w:cs="Arial"/>
          <w:lang w:eastAsia="ar-SA"/>
        </w:rPr>
      </w:pPr>
      <w:r>
        <w:rPr>
          <w:rFonts w:ascii="Arial Narrow" w:eastAsia="Times New Roman" w:hAnsi="Arial Narrow" w:cs="Arial"/>
          <w:b/>
          <w:lang w:eastAsia="ar-SA"/>
        </w:rPr>
        <w:t>Asunto:</w:t>
      </w:r>
      <w:r>
        <w:rPr>
          <w:rFonts w:ascii="Arial Narrow" w:eastAsia="Times New Roman" w:hAnsi="Arial Narrow" w:cs="Arial"/>
          <w:lang w:eastAsia="ar-SA"/>
        </w:rPr>
        <w:t xml:space="preserve"> </w:t>
      </w:r>
      <w:r>
        <w:rPr>
          <w:rFonts w:ascii="Arial Narrow" w:eastAsia="Times New Roman" w:hAnsi="Arial Narrow" w:cs="Arial"/>
          <w:u w:val="single"/>
          <w:lang w:eastAsia="ar-SA"/>
        </w:rPr>
        <w:t>Respuesta de fondo - Derecho de Petición Estatuto de Oposición – Política Pública de Vivienda y Hábitat de Bucaramanga</w:t>
      </w:r>
    </w:p>
    <w:p w14:paraId="1BEE1853" w14:textId="77777777" w:rsidR="00DD0421" w:rsidRPr="00904392" w:rsidRDefault="00DD0421" w:rsidP="00AC3321">
      <w:pPr>
        <w:spacing w:after="0" w:line="240" w:lineRule="auto"/>
        <w:rPr>
          <w:rFonts w:ascii="Arial Narrow" w:eastAsia="Times New Roman" w:hAnsi="Arial Narrow" w:cs="Arial"/>
          <w:lang w:eastAsia="ar-SA"/>
        </w:rPr>
      </w:pPr>
    </w:p>
    <w:p w14:paraId="1827F7CE" w14:textId="77777777" w:rsidR="009935E2" w:rsidRPr="00904392" w:rsidRDefault="009935E2" w:rsidP="00AC3321">
      <w:pPr>
        <w:spacing w:after="0" w:line="240" w:lineRule="auto"/>
        <w:rPr>
          <w:rFonts w:ascii="Arial Narrow" w:eastAsia="Times New Roman" w:hAnsi="Arial Narrow" w:cs="Arial"/>
          <w:lang w:eastAsia="ar-SA"/>
        </w:rPr>
      </w:pPr>
    </w:p>
    <w:p w14:paraId="505A5088" w14:textId="77777777" w:rsidR="00AC3321" w:rsidRPr="00904392" w:rsidRDefault="00AC3321" w:rsidP="00FB7CA0">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Cordial Saludo, </w:t>
      </w:r>
    </w:p>
    <w:p w14:paraId="33D0622D" w14:textId="77777777" w:rsidR="00702FD9" w:rsidRDefault="00702FD9">
      <w:pPr>
        <w:spacing w:after="0" w:line="240" w:lineRule="auto"/>
        <w:jc w:val="both"/>
        <w:rPr>
          <w:rFonts w:ascii="Arial Narrow" w:eastAsia="Times New Roman" w:hAnsi="Arial Narrow" w:cs="Arial"/>
          <w:lang w:eastAsia="ar-SA"/>
        </w:rPr>
      </w:pPr>
    </w:p>
    <w:p w14:paraId="5C5319FC" w14:textId="77777777" w:rsidR="00702FD9" w:rsidRDefault="00000000" w:rsidP="004F33A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En atención al derecho de petición radicado el 22 de mayo de 2026, mediante el cual la señora DANIELA TORRES ZÁRATE, en calidad de Concejala del Municipio de Bucaramanga y en ejercicio de las facultades consagradas en el Estatuto de la Oposición – Ley 1909 de 2018 y la Ley 1755 de 2015, solicita información relacionada con el proceso de formulación de la Política Pública de Vivienda y Hábitat del municipio de Bucaramanga, el Instituto de Vivienda de Interés Social y Reforma Urbana de Bucaramanga – INVISBU se permite dar respuesta de fondo a su solicitud, en el mismo orden en que fue formulada, en los siguientes términos:</w:t>
      </w:r>
    </w:p>
    <w:p w14:paraId="3834CCA8" w14:textId="77777777" w:rsidR="00AD109C" w:rsidRDefault="00AD109C" w:rsidP="004F33AF">
      <w:pPr>
        <w:spacing w:after="0" w:line="240" w:lineRule="auto"/>
        <w:jc w:val="both"/>
        <w:rPr>
          <w:rFonts w:ascii="Arial Narrow" w:eastAsia="Times New Roman" w:hAnsi="Arial Narrow" w:cs="Arial"/>
          <w:lang w:eastAsia="ar-SA"/>
        </w:rPr>
      </w:pPr>
    </w:p>
    <w:p w14:paraId="6BA525AF" w14:textId="77777777" w:rsidR="00AD109C"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De manera preliminar, el Instituto de Vivienda de Interés Social y Reforma Urbana de Bucaramanga - INVISBU precisa que la formulación de la Política Pública de Vivienda y Hábitat de Bucaramanga se adelanta en el marco del Plan de Desarrollo Municipal 2024-2027 “Bucaramanga Avanza Segura”, adoptado mediante Acuerdo Municipal No. 007 de 2024, bajo la coordinación metodológica de la Secretaría de Planeación Municipal y conforme al Manual de Formulación e Implementación de Políticas Públicas del Municipio de Bucaramanga.</w:t>
      </w:r>
    </w:p>
    <w:p w14:paraId="53B0CA82" w14:textId="77777777" w:rsidR="00AD109C" w:rsidRDefault="00AD109C" w:rsidP="00AD109C">
      <w:pPr>
        <w:spacing w:after="0" w:line="240" w:lineRule="auto"/>
        <w:jc w:val="both"/>
        <w:rPr>
          <w:rFonts w:ascii="Arial Narrow" w:eastAsia="Times New Roman" w:hAnsi="Arial Narrow" w:cs="Arial"/>
          <w:lang w:eastAsia="ar-SA"/>
        </w:rPr>
      </w:pPr>
    </w:p>
    <w:p w14:paraId="7B18B6E1" w14:textId="4055C8D3"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En desarrollo de dicho proceso, el Municipio suscribió convenio de asociación con la Universidad Pontificia Bolivariana - Seccional Bucaramanga (Facultad de Derecho y Ciencias Políticas, Observatorio de Políticas Públicas y grupo de investigación CIS JURIS), para el acompañamiento técnico, metodológico y académico. En este escenario, el INVISBU interviene como entidad sectorial y misional en materia de vivienda y hábitat, aportando insumos técnicos, validación institucional y lectura operativa del proceso.</w:t>
      </w:r>
    </w:p>
    <w:p w14:paraId="56D748F1" w14:textId="77777777" w:rsidR="00AD109C" w:rsidRDefault="00AD109C" w:rsidP="00AD109C">
      <w:pPr>
        <w:spacing w:after="0" w:line="240" w:lineRule="auto"/>
        <w:jc w:val="both"/>
        <w:rPr>
          <w:rFonts w:ascii="Arial Narrow" w:eastAsia="Times New Roman" w:hAnsi="Arial Narrow" w:cs="Arial"/>
          <w:lang w:eastAsia="ar-SA"/>
        </w:rPr>
      </w:pPr>
    </w:p>
    <w:p w14:paraId="1A37748D" w14:textId="77777777" w:rsidR="00AD109C"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Si bien el artículo 16 de la Ley 1909 de 2018 prevé un término especial de cinco (5) días para facilitar información y documentación oficial a las organizaciones políticas declaradas en oposición, dicho término se armoniza con el deber de emitir una respuesta completa, veraz, congruente y técnicamente soportada, motivo por el cual el Instituto comunicó oportunamente la prórroga correspondiente.</w:t>
      </w:r>
    </w:p>
    <w:p w14:paraId="25BE4085" w14:textId="77777777" w:rsidR="00AD109C" w:rsidRDefault="00AD109C" w:rsidP="00AD109C">
      <w:pPr>
        <w:spacing w:after="0" w:line="240" w:lineRule="auto"/>
        <w:jc w:val="both"/>
        <w:rPr>
          <w:rFonts w:ascii="Arial Narrow" w:eastAsia="Times New Roman" w:hAnsi="Arial Narrow" w:cs="Arial"/>
          <w:lang w:eastAsia="ar-SA"/>
        </w:rPr>
      </w:pPr>
    </w:p>
    <w:p w14:paraId="33DF3388" w14:textId="1E42811A" w:rsidR="00AD109C"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Se precisa, además, que la Política Pública de Vivienda y </w:t>
      </w:r>
      <w:r w:rsidR="002C60C3">
        <w:rPr>
          <w:rFonts w:ascii="Arial Narrow" w:eastAsia="Times New Roman" w:hAnsi="Arial Narrow" w:cs="Arial"/>
          <w:lang w:eastAsia="ar-SA"/>
        </w:rPr>
        <w:t xml:space="preserve">Hábitat está en cabeza de la </w:t>
      </w:r>
      <w:proofErr w:type="gramStart"/>
      <w:r w:rsidR="002C60C3">
        <w:rPr>
          <w:rFonts w:ascii="Arial Narrow" w:eastAsia="Times New Roman" w:hAnsi="Arial Narrow" w:cs="Arial"/>
          <w:lang w:eastAsia="ar-SA"/>
        </w:rPr>
        <w:t>Secretaria</w:t>
      </w:r>
      <w:proofErr w:type="gramEnd"/>
      <w:r w:rsidR="002C60C3">
        <w:rPr>
          <w:rFonts w:ascii="Arial Narrow" w:eastAsia="Times New Roman" w:hAnsi="Arial Narrow" w:cs="Arial"/>
          <w:lang w:eastAsia="ar-SA"/>
        </w:rPr>
        <w:t xml:space="preserve"> de Planeación del Municipio de Bucaramanga, quien es la responsable de su avance y ejecución; así </w:t>
      </w:r>
      <w:proofErr w:type="gramStart"/>
      <w:r w:rsidR="002C60C3">
        <w:rPr>
          <w:rFonts w:ascii="Arial Narrow" w:eastAsia="Times New Roman" w:hAnsi="Arial Narrow" w:cs="Arial"/>
          <w:lang w:eastAsia="ar-SA"/>
        </w:rPr>
        <w:t xml:space="preserve">pues </w:t>
      </w:r>
      <w:r>
        <w:rPr>
          <w:rFonts w:ascii="Arial Narrow" w:eastAsia="Times New Roman" w:hAnsi="Arial Narrow" w:cs="Arial"/>
          <w:lang w:eastAsia="ar-SA"/>
        </w:rPr>
        <w:t xml:space="preserve"> se</w:t>
      </w:r>
      <w:proofErr w:type="gramEnd"/>
      <w:r>
        <w:rPr>
          <w:rFonts w:ascii="Arial Narrow" w:eastAsia="Times New Roman" w:hAnsi="Arial Narrow" w:cs="Arial"/>
          <w:lang w:eastAsia="ar-SA"/>
        </w:rPr>
        <w:t xml:space="preserve"> encuentra actualmente en fase de formulación, por lo que los documentos e insumos que se relacionan y remiten conservan carácter técnico y preliminar, sujetos a revisión, ajuste y validación, sin que su entrega constituya adopción formal de la política pública ni cierre del proceso</w:t>
      </w:r>
      <w:r w:rsidR="002C60C3">
        <w:rPr>
          <w:rFonts w:ascii="Arial Narrow" w:eastAsia="Times New Roman" w:hAnsi="Arial Narrow" w:cs="Arial"/>
          <w:lang w:eastAsia="ar-SA"/>
        </w:rPr>
        <w:t xml:space="preserve">. Lo anterior en razón a que deberá someterse a estudio y debate en el Concejo Municipal. </w:t>
      </w:r>
    </w:p>
    <w:p w14:paraId="75019A5B" w14:textId="77777777" w:rsidR="00AD109C" w:rsidRDefault="00AD109C" w:rsidP="00AD109C">
      <w:pPr>
        <w:spacing w:after="0" w:line="240" w:lineRule="auto"/>
        <w:jc w:val="both"/>
        <w:rPr>
          <w:rFonts w:ascii="Arial Narrow" w:eastAsia="Times New Roman" w:hAnsi="Arial Narrow" w:cs="Arial"/>
          <w:lang w:eastAsia="ar-SA"/>
        </w:rPr>
      </w:pPr>
    </w:p>
    <w:p w14:paraId="7E2CC9E0" w14:textId="14C8C386"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Cuando los documentos contengan datos personales, firmas o listados de asistencia, su tratamiento se sujeta al régimen de protección de datos personales y acceso a la información pública.</w:t>
      </w:r>
    </w:p>
    <w:p w14:paraId="67532A70" w14:textId="77777777" w:rsidR="00AD109C" w:rsidRDefault="00AD109C" w:rsidP="00AD109C">
      <w:pPr>
        <w:spacing w:after="0" w:line="240" w:lineRule="auto"/>
        <w:jc w:val="both"/>
        <w:rPr>
          <w:rFonts w:ascii="Arial Narrow" w:eastAsia="Times New Roman" w:hAnsi="Arial Narrow" w:cs="Arial"/>
          <w:lang w:eastAsia="ar-SA"/>
        </w:rPr>
      </w:pPr>
    </w:p>
    <w:p w14:paraId="3BC82C78" w14:textId="77777777" w:rsidR="00AD109C" w:rsidRDefault="00AD109C" w:rsidP="00AD109C">
      <w:pPr>
        <w:spacing w:after="0" w:line="240" w:lineRule="auto"/>
        <w:jc w:val="both"/>
        <w:rPr>
          <w:rFonts w:ascii="Arial Narrow" w:eastAsia="Times New Roman" w:hAnsi="Arial Narrow" w:cs="Arial"/>
          <w:lang w:eastAsia="ar-SA"/>
        </w:rPr>
      </w:pPr>
    </w:p>
    <w:p w14:paraId="133F7BE6" w14:textId="77777777" w:rsidR="00AD109C" w:rsidRPr="002C60C3" w:rsidRDefault="00AD109C" w:rsidP="00AD109C">
      <w:pPr>
        <w:spacing w:after="0" w:line="240" w:lineRule="auto"/>
        <w:jc w:val="both"/>
        <w:rPr>
          <w:rFonts w:ascii="Arial Narrow" w:eastAsia="Times New Roman" w:hAnsi="Arial Narrow" w:cs="Arial"/>
          <w:bCs/>
          <w:lang w:eastAsia="ar-SA"/>
        </w:rPr>
      </w:pPr>
    </w:p>
    <w:p w14:paraId="17498532" w14:textId="77777777" w:rsidR="00607E40" w:rsidRPr="002C60C3" w:rsidRDefault="00000000">
      <w:pPr>
        <w:spacing w:after="120" w:line="240" w:lineRule="auto"/>
        <w:jc w:val="both"/>
        <w:rPr>
          <w:rFonts w:ascii="Arial Narrow" w:eastAsia="Times New Roman" w:hAnsi="Arial Narrow" w:cs="Arial"/>
          <w:bCs/>
          <w:lang w:eastAsia="ar-SA"/>
        </w:rPr>
      </w:pPr>
      <w:r w:rsidRPr="002C60C3">
        <w:rPr>
          <w:rFonts w:ascii="Arial Narrow" w:eastAsia="Times New Roman" w:hAnsi="Arial Narrow" w:cs="Arial"/>
          <w:bCs/>
          <w:lang w:eastAsia="ar-SA"/>
        </w:rPr>
        <w:t>Con fundamento en lo anterior, se da respuesta a cada una de las solicitudes, en el mismo orden en que fueron formuladas:</w:t>
      </w:r>
    </w:p>
    <w:p w14:paraId="7A879B83" w14:textId="77777777" w:rsidR="00607E40" w:rsidRDefault="00000000">
      <w:pPr>
        <w:spacing w:before="160" w:after="120" w:line="240" w:lineRule="auto"/>
        <w:jc w:val="both"/>
        <w:rPr>
          <w:rFonts w:ascii="Arial Narrow" w:eastAsia="Times New Roman" w:hAnsi="Arial Narrow" w:cs="Arial"/>
          <w:lang w:eastAsia="ar-SA"/>
        </w:rPr>
      </w:pPr>
      <w:r>
        <w:rPr>
          <w:rFonts w:ascii="Arial Narrow" w:eastAsia="Times New Roman" w:hAnsi="Arial Narrow" w:cs="Arial"/>
          <w:b/>
          <w:lang w:eastAsia="ar-SA"/>
        </w:rPr>
        <w:t>1. Frente a la solicitud de remitir copia digital completa de los documentos técnicos y avances documentales disponibles relacionados con la formulación de la Política Pública de Vivienda y Hábitat de Bucaramanga (documento metodológico, diagnóstico técnico y territorial, plan estratégico, cronograma de formulación, actas, listado de actores, documentos preliminares y estudios, consultorías, contratos o convenios suscritos):</w:t>
      </w:r>
    </w:p>
    <w:p w14:paraId="3F65F450"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En atención a lo solicitado, el INVISBU, en el marco de su participación sectorial dentro del proceso de formulación liderado metodológicamente por la Secretaría de Planeación Municipal, pone a disposición y remite la carpeta digital denominada “INSUMOS PPVH”, en la cual se consolidan los documentos técnicos, metodológicos, administrativos, participativos, contractuales, normativos y de soporte disponibles a la fecha. La información se organiza por carpetas temáticas y, en los casos correspondientes, por vigencias 2025 y 2026, para facilitar la consulta, verificación y trazabilidad del proceso, así:</w:t>
      </w: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1700"/>
        <w:gridCol w:w="3771"/>
        <w:gridCol w:w="2800"/>
      </w:tblGrid>
      <w:tr w:rsidR="00607E40" w14:paraId="2B6FBC2E" w14:textId="77777777">
        <w:trPr>
          <w:tblHeader/>
          <w:jc w:val="center"/>
        </w:trPr>
        <w:tc>
          <w:tcPr>
            <w:tcW w:w="17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455A877D"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Carpeta</w:t>
            </w:r>
          </w:p>
        </w:tc>
        <w:tc>
          <w:tcPr>
            <w:tcW w:w="377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3D0CABDD"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Contenido incorporado</w:t>
            </w:r>
          </w:p>
        </w:tc>
        <w:tc>
          <w:tcPr>
            <w:tcW w:w="28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2A2A14E1"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Relación con la solicitud</w:t>
            </w:r>
          </w:p>
        </w:tc>
      </w:tr>
      <w:tr w:rsidR="00607E40" w14:paraId="2B18C62E"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7892EC4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ACTAS DE REUNIÓN</w:t>
            </w:r>
          </w:p>
        </w:tc>
        <w:tc>
          <w:tcPr>
            <w:tcW w:w="3771" w:type="dxa"/>
            <w:tcBorders>
              <w:top w:val="single" w:sz="4" w:space="0" w:color="BFBFBF"/>
              <w:left w:val="single" w:sz="4" w:space="0" w:color="BFBFBF"/>
              <w:bottom w:val="single" w:sz="4" w:space="0" w:color="BFBFBF"/>
              <w:right w:val="single" w:sz="4" w:space="0" w:color="BFBFBF"/>
            </w:tcBorders>
            <w:vAlign w:val="center"/>
          </w:tcPr>
          <w:p w14:paraId="377F492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Subcarpetas por vigencias 2025 y 2026, divididas por meses, con actas de reunión, listados de asistencia, soportes y evidencias de reuniones internas del equipo formulador y de reuniones técnicas e institucionales externas.</w:t>
            </w:r>
          </w:p>
        </w:tc>
        <w:tc>
          <w:tcPr>
            <w:tcW w:w="2800" w:type="dxa"/>
            <w:tcBorders>
              <w:top w:val="single" w:sz="4" w:space="0" w:color="BFBFBF"/>
              <w:left w:val="single" w:sz="4" w:space="0" w:color="BFBFBF"/>
              <w:bottom w:val="single" w:sz="4" w:space="0" w:color="BFBFBF"/>
              <w:right w:val="single" w:sz="4" w:space="0" w:color="BFBFBF"/>
            </w:tcBorders>
            <w:vAlign w:val="center"/>
          </w:tcPr>
          <w:p w14:paraId="2925D2E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Da respuesta a la solicitud de actas, memorias y soportes de mesas de trabajo realizadas y permite verificar la trazabilidad de las reuniones.</w:t>
            </w:r>
          </w:p>
        </w:tc>
      </w:tr>
      <w:tr w:rsidR="00607E40" w14:paraId="15D12EDB"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7077998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BASE INDICADORES</w:t>
            </w:r>
          </w:p>
        </w:tc>
        <w:tc>
          <w:tcPr>
            <w:tcW w:w="3771" w:type="dxa"/>
            <w:tcBorders>
              <w:top w:val="single" w:sz="4" w:space="0" w:color="BFBFBF"/>
              <w:left w:val="single" w:sz="4" w:space="0" w:color="BFBFBF"/>
              <w:bottom w:val="single" w:sz="4" w:space="0" w:color="BFBFBF"/>
              <w:right w:val="single" w:sz="4" w:space="0" w:color="BFBFBF"/>
            </w:tcBorders>
            <w:vAlign w:val="center"/>
          </w:tcPr>
          <w:p w14:paraId="37494FB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Insumos para construcción de línea base e indicadores: Datos Metropolitanos, Base de Datos de Actores PP Vivienda y Hábitat, Indicadores PP Asentamientos Humanos e Indicadores PP Vivienda y Hábitat.</w:t>
            </w:r>
          </w:p>
        </w:tc>
        <w:tc>
          <w:tcPr>
            <w:tcW w:w="2800" w:type="dxa"/>
            <w:tcBorders>
              <w:top w:val="single" w:sz="4" w:space="0" w:color="BFBFBF"/>
              <w:left w:val="single" w:sz="4" w:space="0" w:color="BFBFBF"/>
              <w:bottom w:val="single" w:sz="4" w:space="0" w:color="BFBFBF"/>
              <w:right w:val="single" w:sz="4" w:space="0" w:color="BFBFBF"/>
            </w:tcBorders>
            <w:vAlign w:val="center"/>
          </w:tcPr>
          <w:p w14:paraId="1285105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el diagnóstico técnico y territorial, la línea base, el análisis de actores y la estructuración de indicadores.</w:t>
            </w:r>
          </w:p>
        </w:tc>
      </w:tr>
      <w:tr w:rsidR="00607E40" w14:paraId="63F34581"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14FF391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CONVENIO</w:t>
            </w:r>
          </w:p>
        </w:tc>
        <w:tc>
          <w:tcPr>
            <w:tcW w:w="3771" w:type="dxa"/>
            <w:tcBorders>
              <w:top w:val="single" w:sz="4" w:space="0" w:color="BFBFBF"/>
              <w:left w:val="single" w:sz="4" w:space="0" w:color="BFBFBF"/>
              <w:bottom w:val="single" w:sz="4" w:space="0" w:color="BFBFBF"/>
              <w:right w:val="single" w:sz="4" w:space="0" w:color="BFBFBF"/>
            </w:tcBorders>
            <w:vAlign w:val="center"/>
          </w:tcPr>
          <w:p w14:paraId="1E3DDD4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Convenio UPB-Alcaldía de Bucaramanga y carpeta de seguimiento al convenio y reuniones de planeación, con soportes del acompañamiento académico y técnico.</w:t>
            </w:r>
          </w:p>
        </w:tc>
        <w:tc>
          <w:tcPr>
            <w:tcW w:w="2800" w:type="dxa"/>
            <w:tcBorders>
              <w:top w:val="single" w:sz="4" w:space="0" w:color="BFBFBF"/>
              <w:left w:val="single" w:sz="4" w:space="0" w:color="BFBFBF"/>
              <w:bottom w:val="single" w:sz="4" w:space="0" w:color="BFBFBF"/>
              <w:right w:val="single" w:sz="4" w:space="0" w:color="BFBFBF"/>
            </w:tcBorders>
            <w:vAlign w:val="center"/>
          </w:tcPr>
          <w:p w14:paraId="465FCAC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Atiende la solicitud relacionada con contratos, convenios, consultorías o instrumentos suscritos para la formulación.</w:t>
            </w:r>
          </w:p>
        </w:tc>
      </w:tr>
      <w:tr w:rsidR="00607E40" w14:paraId="2C003C25"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06BE407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DIAGNÓSTICO</w:t>
            </w:r>
          </w:p>
        </w:tc>
        <w:tc>
          <w:tcPr>
            <w:tcW w:w="3771" w:type="dxa"/>
            <w:tcBorders>
              <w:top w:val="single" w:sz="4" w:space="0" w:color="BFBFBF"/>
              <w:left w:val="single" w:sz="4" w:space="0" w:color="BFBFBF"/>
              <w:bottom w:val="single" w:sz="4" w:space="0" w:color="BFBFBF"/>
              <w:right w:val="single" w:sz="4" w:space="0" w:color="BFBFBF"/>
            </w:tcBorders>
            <w:vAlign w:val="center"/>
          </w:tcPr>
          <w:p w14:paraId="4BBB6CC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Versiones del diagnóstico en construcción y subcapítulos técnicos: Diagnóstico PP Vivienda - Ajustado MJM, Diagnóstico PP Vivienda V1, PPVH Diagnóstico v300426, Caracterización y Subcomponente Rural.</w:t>
            </w:r>
          </w:p>
        </w:tc>
        <w:tc>
          <w:tcPr>
            <w:tcW w:w="2800" w:type="dxa"/>
            <w:tcBorders>
              <w:top w:val="single" w:sz="4" w:space="0" w:color="BFBFBF"/>
              <w:left w:val="single" w:sz="4" w:space="0" w:color="BFBFBF"/>
              <w:bottom w:val="single" w:sz="4" w:space="0" w:color="BFBFBF"/>
              <w:right w:val="single" w:sz="4" w:space="0" w:color="BFBFBF"/>
            </w:tcBorders>
            <w:vAlign w:val="center"/>
          </w:tcPr>
          <w:p w14:paraId="7048981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Da respuesta a la solicitud de diagnóstico técnico y territorial, remitiendo las versiones disponibles a la fecha.</w:t>
            </w:r>
          </w:p>
        </w:tc>
      </w:tr>
      <w:tr w:rsidR="00607E40" w14:paraId="406954CF"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2010267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ENCUESTAS</w:t>
            </w:r>
          </w:p>
        </w:tc>
        <w:tc>
          <w:tcPr>
            <w:tcW w:w="3771" w:type="dxa"/>
            <w:tcBorders>
              <w:top w:val="single" w:sz="4" w:space="0" w:color="BFBFBF"/>
              <w:left w:val="single" w:sz="4" w:space="0" w:color="BFBFBF"/>
              <w:bottom w:val="single" w:sz="4" w:space="0" w:color="BFBFBF"/>
              <w:right w:val="single" w:sz="4" w:space="0" w:color="BFBFBF"/>
            </w:tcBorders>
            <w:vAlign w:val="center"/>
          </w:tcPr>
          <w:p w14:paraId="26A17B7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Carpeta de Resultados, Encuesta Cuantitativa PP Vivienda, formulario PPVH Encuesta Diagnóstico Forms, Propuesta Encuesta PPVH y soporte de Publicación Encuesta.</w:t>
            </w:r>
          </w:p>
        </w:tc>
        <w:tc>
          <w:tcPr>
            <w:tcW w:w="2800" w:type="dxa"/>
            <w:tcBorders>
              <w:top w:val="single" w:sz="4" w:space="0" w:color="BFBFBF"/>
              <w:left w:val="single" w:sz="4" w:space="0" w:color="BFBFBF"/>
              <w:bottom w:val="single" w:sz="4" w:space="0" w:color="BFBFBF"/>
              <w:right w:val="single" w:sz="4" w:space="0" w:color="BFBFBF"/>
            </w:tcBorders>
            <w:vAlign w:val="center"/>
          </w:tcPr>
          <w:p w14:paraId="1C09D62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el componente de información primaria, diagnóstico participativo y percepción ciudadana.</w:t>
            </w:r>
          </w:p>
        </w:tc>
      </w:tr>
      <w:tr w:rsidR="00607E40" w14:paraId="6DA82B75"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23E75D5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INFORMES DE GESTIÓN</w:t>
            </w:r>
          </w:p>
        </w:tc>
        <w:tc>
          <w:tcPr>
            <w:tcW w:w="3771" w:type="dxa"/>
            <w:tcBorders>
              <w:top w:val="single" w:sz="4" w:space="0" w:color="BFBFBF"/>
              <w:left w:val="single" w:sz="4" w:space="0" w:color="BFBFBF"/>
              <w:bottom w:val="single" w:sz="4" w:space="0" w:color="BFBFBF"/>
              <w:right w:val="single" w:sz="4" w:space="0" w:color="BFBFBF"/>
            </w:tcBorders>
            <w:vAlign w:val="center"/>
          </w:tcPr>
          <w:p w14:paraId="7DF4D22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Subcarpetas por año con informes de gestión, reportes a la Secretaría de Planeación y soportes de informes trimestrales presentados ante el Concejo Municipal.</w:t>
            </w:r>
          </w:p>
        </w:tc>
        <w:tc>
          <w:tcPr>
            <w:tcW w:w="2800" w:type="dxa"/>
            <w:tcBorders>
              <w:top w:val="single" w:sz="4" w:space="0" w:color="BFBFBF"/>
              <w:left w:val="single" w:sz="4" w:space="0" w:color="BFBFBF"/>
              <w:bottom w:val="single" w:sz="4" w:space="0" w:color="BFBFBF"/>
              <w:right w:val="single" w:sz="4" w:space="0" w:color="BFBFBF"/>
            </w:tcBorders>
            <w:vAlign w:val="center"/>
          </w:tcPr>
          <w:p w14:paraId="342E420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Permite verificar la trazabilidad institucional, el seguimiento del proceso y los avances reportados.</w:t>
            </w:r>
          </w:p>
        </w:tc>
      </w:tr>
      <w:tr w:rsidR="00607E40" w14:paraId="1074E471"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67981FB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LOGO VIVIENDA Y HÁBITAT</w:t>
            </w:r>
          </w:p>
        </w:tc>
        <w:tc>
          <w:tcPr>
            <w:tcW w:w="3771" w:type="dxa"/>
            <w:tcBorders>
              <w:top w:val="single" w:sz="4" w:space="0" w:color="BFBFBF"/>
              <w:left w:val="single" w:sz="4" w:space="0" w:color="BFBFBF"/>
              <w:bottom w:val="single" w:sz="4" w:space="0" w:color="BFBFBF"/>
              <w:right w:val="single" w:sz="4" w:space="0" w:color="BFBFBF"/>
            </w:tcBorders>
            <w:vAlign w:val="center"/>
          </w:tcPr>
          <w:p w14:paraId="52048A4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Insumos gráficos e identidad visual construida para socialización y divulgación de la política pública.</w:t>
            </w:r>
          </w:p>
        </w:tc>
        <w:tc>
          <w:tcPr>
            <w:tcW w:w="2800" w:type="dxa"/>
            <w:tcBorders>
              <w:top w:val="single" w:sz="4" w:space="0" w:color="BFBFBF"/>
              <w:left w:val="single" w:sz="4" w:space="0" w:color="BFBFBF"/>
              <w:bottom w:val="single" w:sz="4" w:space="0" w:color="BFBFBF"/>
              <w:right w:val="single" w:sz="4" w:space="0" w:color="BFBFBF"/>
            </w:tcBorders>
            <w:vAlign w:val="center"/>
          </w:tcPr>
          <w:p w14:paraId="133918B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las acciones de comunicación institucional, divulgación y apropiación ciudadana.</w:t>
            </w:r>
          </w:p>
        </w:tc>
      </w:tr>
      <w:tr w:rsidR="00607E40" w14:paraId="45A1E35A"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6F6C87F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METODOLOGÍA</w:t>
            </w:r>
          </w:p>
        </w:tc>
        <w:tc>
          <w:tcPr>
            <w:tcW w:w="3771" w:type="dxa"/>
            <w:tcBorders>
              <w:top w:val="single" w:sz="4" w:space="0" w:color="BFBFBF"/>
              <w:left w:val="single" w:sz="4" w:space="0" w:color="BFBFBF"/>
              <w:bottom w:val="single" w:sz="4" w:space="0" w:color="BFBFBF"/>
              <w:right w:val="single" w:sz="4" w:space="0" w:color="BFBFBF"/>
            </w:tcBorders>
            <w:vAlign w:val="center"/>
          </w:tcPr>
          <w:p w14:paraId="31A9AC9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Plan de Trabajo, Metodología PP Vivienda, Acta de Presentación de Metodología 220525, Guía de Políticas Públicas, Manual de Política Pública, Plan de Medios y documento Vivienda y Hábitat Metodología.</w:t>
            </w:r>
          </w:p>
        </w:tc>
        <w:tc>
          <w:tcPr>
            <w:tcW w:w="2800" w:type="dxa"/>
            <w:tcBorders>
              <w:top w:val="single" w:sz="4" w:space="0" w:color="BFBFBF"/>
              <w:left w:val="single" w:sz="4" w:space="0" w:color="BFBFBF"/>
              <w:bottom w:val="single" w:sz="4" w:space="0" w:color="BFBFBF"/>
              <w:right w:val="single" w:sz="4" w:space="0" w:color="BFBFBF"/>
            </w:tcBorders>
            <w:vAlign w:val="center"/>
          </w:tcPr>
          <w:p w14:paraId="554EA87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Da respuesta directa a la solicitud de documento metodológico, cronograma, plan de trabajo y ruta técnica.</w:t>
            </w:r>
          </w:p>
        </w:tc>
      </w:tr>
      <w:tr w:rsidR="00607E40" w14:paraId="7294358B"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6E9BD2C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NORMATIVA</w:t>
            </w:r>
          </w:p>
        </w:tc>
        <w:tc>
          <w:tcPr>
            <w:tcW w:w="3771" w:type="dxa"/>
            <w:tcBorders>
              <w:top w:val="single" w:sz="4" w:space="0" w:color="BFBFBF"/>
              <w:left w:val="single" w:sz="4" w:space="0" w:color="BFBFBF"/>
              <w:bottom w:val="single" w:sz="4" w:space="0" w:color="BFBFBF"/>
              <w:right w:val="single" w:sz="4" w:space="0" w:color="BFBFBF"/>
            </w:tcBorders>
            <w:vAlign w:val="center"/>
          </w:tcPr>
          <w:p w14:paraId="6AF2096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Soportes normativos, lineamientos jurídicos y documentos de referencia aplicables a la formulación en vivienda, hábitat, planeación, participación y ordenamiento territorial.</w:t>
            </w:r>
          </w:p>
        </w:tc>
        <w:tc>
          <w:tcPr>
            <w:tcW w:w="2800" w:type="dxa"/>
            <w:tcBorders>
              <w:top w:val="single" w:sz="4" w:space="0" w:color="BFBFBF"/>
              <w:left w:val="single" w:sz="4" w:space="0" w:color="BFBFBF"/>
              <w:bottom w:val="single" w:sz="4" w:space="0" w:color="BFBFBF"/>
              <w:right w:val="single" w:sz="4" w:space="0" w:color="BFBFBF"/>
            </w:tcBorders>
            <w:vAlign w:val="center"/>
          </w:tcPr>
          <w:p w14:paraId="625F06C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el marco jurídico y técnico que fundamenta la formulación.</w:t>
            </w:r>
          </w:p>
        </w:tc>
      </w:tr>
      <w:tr w:rsidR="00607E40" w14:paraId="201C446A"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3AD6FE3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PLAN ESTRATÉGICO</w:t>
            </w:r>
          </w:p>
        </w:tc>
        <w:tc>
          <w:tcPr>
            <w:tcW w:w="3771" w:type="dxa"/>
            <w:tcBorders>
              <w:top w:val="single" w:sz="4" w:space="0" w:color="BFBFBF"/>
              <w:left w:val="single" w:sz="4" w:space="0" w:color="BFBFBF"/>
              <w:bottom w:val="single" w:sz="4" w:space="0" w:color="BFBFBF"/>
              <w:right w:val="single" w:sz="4" w:space="0" w:color="BFBFBF"/>
            </w:tcBorders>
            <w:vAlign w:val="center"/>
          </w:tcPr>
          <w:p w14:paraId="64E48E5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Versiones de la matriz estratégica trabajadas a la fecha y avances del componente estratégico: líneas, acciones, metas, indicadores y presupuesto indicativo en construcción.</w:t>
            </w:r>
          </w:p>
        </w:tc>
        <w:tc>
          <w:tcPr>
            <w:tcW w:w="2800" w:type="dxa"/>
            <w:tcBorders>
              <w:top w:val="single" w:sz="4" w:space="0" w:color="BFBFBF"/>
              <w:left w:val="single" w:sz="4" w:space="0" w:color="BFBFBF"/>
              <w:bottom w:val="single" w:sz="4" w:space="0" w:color="BFBFBF"/>
              <w:right w:val="single" w:sz="4" w:space="0" w:color="BFBFBF"/>
            </w:tcBorders>
            <w:vAlign w:val="center"/>
          </w:tcPr>
          <w:p w14:paraId="2F35056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Da respuesta a la solicitud de plan estratégico, en el estado de avance disponible.</w:t>
            </w:r>
          </w:p>
        </w:tc>
      </w:tr>
      <w:tr w:rsidR="00607E40" w14:paraId="41C92556"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777958B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POLÍTICA PÚBLICA ANTERIOR</w:t>
            </w:r>
          </w:p>
        </w:tc>
        <w:tc>
          <w:tcPr>
            <w:tcW w:w="3771" w:type="dxa"/>
            <w:tcBorders>
              <w:top w:val="single" w:sz="4" w:space="0" w:color="BFBFBF"/>
              <w:left w:val="single" w:sz="4" w:space="0" w:color="BFBFBF"/>
              <w:bottom w:val="single" w:sz="4" w:space="0" w:color="BFBFBF"/>
              <w:right w:val="single" w:sz="4" w:space="0" w:color="BFBFBF"/>
            </w:tcBorders>
            <w:vAlign w:val="center"/>
          </w:tcPr>
          <w:p w14:paraId="054E60B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Subcarpetas Acuerdo, Comparativa y Diagnóstico, con antecedentes, referentes previos y documentos de contraste usados como insumo.</w:t>
            </w:r>
          </w:p>
        </w:tc>
        <w:tc>
          <w:tcPr>
            <w:tcW w:w="2800" w:type="dxa"/>
            <w:tcBorders>
              <w:top w:val="single" w:sz="4" w:space="0" w:color="BFBFBF"/>
              <w:left w:val="single" w:sz="4" w:space="0" w:color="BFBFBF"/>
              <w:bottom w:val="single" w:sz="4" w:space="0" w:color="BFBFBF"/>
              <w:right w:val="single" w:sz="4" w:space="0" w:color="BFBFBF"/>
            </w:tcBorders>
            <w:vAlign w:val="center"/>
          </w:tcPr>
          <w:p w14:paraId="2AE22C4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el análisis de antecedentes y revisión documental de la política pública anterior.</w:t>
            </w:r>
          </w:p>
        </w:tc>
      </w:tr>
      <w:tr w:rsidR="00607E40" w14:paraId="7A2E57D5"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5CAA3F0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lastRenderedPageBreak/>
              <w:t>PRESENTACIONES</w:t>
            </w:r>
          </w:p>
        </w:tc>
        <w:tc>
          <w:tcPr>
            <w:tcW w:w="3771" w:type="dxa"/>
            <w:tcBorders>
              <w:top w:val="single" w:sz="4" w:space="0" w:color="BFBFBF"/>
              <w:left w:val="single" w:sz="4" w:space="0" w:color="BFBFBF"/>
              <w:bottom w:val="single" w:sz="4" w:space="0" w:color="BFBFBF"/>
              <w:right w:val="single" w:sz="4" w:space="0" w:color="BFBFBF"/>
            </w:tcBorders>
            <w:vAlign w:val="center"/>
          </w:tcPr>
          <w:p w14:paraId="0A40501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Presentación Gremios Privados y presentaciones PPB Vivienda Hábitat Socialización Avances, Socialización Área y Socialización AVAC, entre otras.</w:t>
            </w:r>
          </w:p>
        </w:tc>
        <w:tc>
          <w:tcPr>
            <w:tcW w:w="2800" w:type="dxa"/>
            <w:tcBorders>
              <w:top w:val="single" w:sz="4" w:space="0" w:color="BFBFBF"/>
              <w:left w:val="single" w:sz="4" w:space="0" w:color="BFBFBF"/>
              <w:bottom w:val="single" w:sz="4" w:space="0" w:color="BFBFBF"/>
              <w:right w:val="single" w:sz="4" w:space="0" w:color="BFBFBF"/>
            </w:tcBorders>
            <w:vAlign w:val="center"/>
          </w:tcPr>
          <w:p w14:paraId="604CB7A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Atiende la solicitud de memorias, avances documentales y soportes de socialización con actores externos.</w:t>
            </w:r>
          </w:p>
        </w:tc>
      </w:tr>
      <w:tr w:rsidR="00607E40" w14:paraId="11BB82A5"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5EEC823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PUBLICACIONES</w:t>
            </w:r>
          </w:p>
        </w:tc>
        <w:tc>
          <w:tcPr>
            <w:tcW w:w="3771" w:type="dxa"/>
            <w:tcBorders>
              <w:top w:val="single" w:sz="4" w:space="0" w:color="BFBFBF"/>
              <w:left w:val="single" w:sz="4" w:space="0" w:color="BFBFBF"/>
              <w:bottom w:val="single" w:sz="4" w:space="0" w:color="BFBFBF"/>
              <w:right w:val="single" w:sz="4" w:space="0" w:color="BFBFBF"/>
            </w:tcBorders>
            <w:vAlign w:val="center"/>
          </w:tcPr>
          <w:p w14:paraId="324D1B6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Evidencias de publicaciones, videos y piezas en canales institucionales: Alianzas UPB, Convocatorias, Evento Lanzamiento, Foro, Laboratorio de innovación, Publicación Encuesta y Taller Mapeo de Actores.</w:t>
            </w:r>
          </w:p>
        </w:tc>
        <w:tc>
          <w:tcPr>
            <w:tcW w:w="2800" w:type="dxa"/>
            <w:tcBorders>
              <w:top w:val="single" w:sz="4" w:space="0" w:color="BFBFBF"/>
              <w:left w:val="single" w:sz="4" w:space="0" w:color="BFBFBF"/>
              <w:bottom w:val="single" w:sz="4" w:space="0" w:color="BFBFBF"/>
              <w:right w:val="single" w:sz="4" w:space="0" w:color="BFBFBF"/>
            </w:tcBorders>
            <w:vAlign w:val="center"/>
          </w:tcPr>
          <w:p w14:paraId="53201B1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Permite verificar las actuaciones de publicidad, transparencia, convocatoria y divulgación institucional.</w:t>
            </w:r>
          </w:p>
        </w:tc>
      </w:tr>
      <w:tr w:rsidR="00607E40" w14:paraId="41E6C53E"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618FA62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SOCIALIZACIÓN ENTES DE CONTROL</w:t>
            </w:r>
          </w:p>
        </w:tc>
        <w:tc>
          <w:tcPr>
            <w:tcW w:w="3771" w:type="dxa"/>
            <w:tcBorders>
              <w:top w:val="single" w:sz="4" w:space="0" w:color="BFBFBF"/>
              <w:left w:val="single" w:sz="4" w:space="0" w:color="BFBFBF"/>
              <w:bottom w:val="single" w:sz="4" w:space="0" w:color="BFBFBF"/>
              <w:right w:val="single" w:sz="4" w:space="0" w:color="BFBFBF"/>
            </w:tcBorders>
            <w:vAlign w:val="center"/>
          </w:tcPr>
          <w:p w14:paraId="5EE5A7B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Reunión PP Defensoría 310725 y Acta PP Defensoría 310725, relacionadas con la socialización ante entidades de control.</w:t>
            </w:r>
          </w:p>
        </w:tc>
        <w:tc>
          <w:tcPr>
            <w:tcW w:w="2800" w:type="dxa"/>
            <w:tcBorders>
              <w:top w:val="single" w:sz="4" w:space="0" w:color="BFBFBF"/>
              <w:left w:val="single" w:sz="4" w:space="0" w:color="BFBFBF"/>
              <w:bottom w:val="single" w:sz="4" w:space="0" w:color="BFBFBF"/>
              <w:right w:val="single" w:sz="4" w:space="0" w:color="BFBFBF"/>
            </w:tcBorders>
            <w:vAlign w:val="center"/>
          </w:tcPr>
          <w:p w14:paraId="2B60F6B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Soporta los espacios de socialización externa y la trazabilidad frente a entes de control.</w:t>
            </w:r>
          </w:p>
        </w:tc>
      </w:tr>
      <w:tr w:rsidR="00607E40" w14:paraId="0BD8727E"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4D29BCC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SOLICITUDES</w:t>
            </w:r>
          </w:p>
        </w:tc>
        <w:tc>
          <w:tcPr>
            <w:tcW w:w="3771" w:type="dxa"/>
            <w:tcBorders>
              <w:top w:val="single" w:sz="4" w:space="0" w:color="BFBFBF"/>
              <w:left w:val="single" w:sz="4" w:space="0" w:color="BFBFBF"/>
              <w:bottom w:val="single" w:sz="4" w:space="0" w:color="BFBFBF"/>
              <w:right w:val="single" w:sz="4" w:space="0" w:color="BFBFBF"/>
            </w:tcBorders>
            <w:vAlign w:val="center"/>
          </w:tcPr>
          <w:p w14:paraId="553C15A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Comunicaciones y correos asociados a requerimientos, remisiones y ajustes: acreditación del convenio UPB, ajustes al diagnóstico, validación del plan estratégico y presupuesto indicativo y remisión al sector constructor.</w:t>
            </w:r>
          </w:p>
        </w:tc>
        <w:tc>
          <w:tcPr>
            <w:tcW w:w="2800" w:type="dxa"/>
            <w:tcBorders>
              <w:top w:val="single" w:sz="4" w:space="0" w:color="BFBFBF"/>
              <w:left w:val="single" w:sz="4" w:space="0" w:color="BFBFBF"/>
              <w:bottom w:val="single" w:sz="4" w:space="0" w:color="BFBFBF"/>
              <w:right w:val="single" w:sz="4" w:space="0" w:color="BFBFBF"/>
            </w:tcBorders>
            <w:vAlign w:val="center"/>
          </w:tcPr>
          <w:p w14:paraId="7D178F1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Evidencia la gestión interinstitucional, los requerimientos técnicos y las remisiones efectuadas.</w:t>
            </w:r>
          </w:p>
        </w:tc>
      </w:tr>
      <w:tr w:rsidR="00607E40" w14:paraId="2B2FF0A0" w14:textId="77777777">
        <w:trPr>
          <w:jc w:val="center"/>
        </w:trPr>
        <w:tc>
          <w:tcPr>
            <w:tcW w:w="1700" w:type="dxa"/>
            <w:tcBorders>
              <w:top w:val="single" w:sz="4" w:space="0" w:color="BFBFBF"/>
              <w:left w:val="single" w:sz="4" w:space="0" w:color="BFBFBF"/>
              <w:bottom w:val="single" w:sz="4" w:space="0" w:color="BFBFBF"/>
              <w:right w:val="single" w:sz="4" w:space="0" w:color="BFBFBF"/>
            </w:tcBorders>
            <w:vAlign w:val="center"/>
          </w:tcPr>
          <w:p w14:paraId="09AD143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TALLERES</w:t>
            </w:r>
          </w:p>
        </w:tc>
        <w:tc>
          <w:tcPr>
            <w:tcW w:w="3771" w:type="dxa"/>
            <w:tcBorders>
              <w:top w:val="single" w:sz="4" w:space="0" w:color="BFBFBF"/>
              <w:left w:val="single" w:sz="4" w:space="0" w:color="BFBFBF"/>
              <w:bottom w:val="single" w:sz="4" w:space="0" w:color="BFBFBF"/>
              <w:right w:val="single" w:sz="4" w:space="0" w:color="BFBFBF"/>
            </w:tcBorders>
            <w:vAlign w:val="center"/>
          </w:tcPr>
          <w:p w14:paraId="4FEDE7B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Información de talleres realizados: Conectando Capitales, Árbol de Problemas, Construcción y Validación de Escenarios, Seguimiento y Evaluación, Gremios Privados, Mapeo de Actores, Validación Presupuesto con INVISBU, Estructuración de Encuesta y Webinar UPB.</w:t>
            </w:r>
          </w:p>
        </w:tc>
        <w:tc>
          <w:tcPr>
            <w:tcW w:w="2800" w:type="dxa"/>
            <w:tcBorders>
              <w:top w:val="single" w:sz="4" w:space="0" w:color="BFBFBF"/>
              <w:left w:val="single" w:sz="4" w:space="0" w:color="BFBFBF"/>
              <w:bottom w:val="single" w:sz="4" w:space="0" w:color="BFBFBF"/>
              <w:right w:val="single" w:sz="4" w:space="0" w:color="BFBFBF"/>
            </w:tcBorders>
            <w:vAlign w:val="center"/>
          </w:tcPr>
          <w:p w14:paraId="74DF078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Da respuesta a la solicitud de soportes de espacios participativos, actores convocados, actas y construcción colectiva.</w:t>
            </w:r>
          </w:p>
        </w:tc>
      </w:tr>
    </w:tbl>
    <w:p w14:paraId="692F0144" w14:textId="77777777" w:rsidR="00607E40" w:rsidRDefault="00607E40">
      <w:pPr>
        <w:spacing w:after="80" w:line="240" w:lineRule="auto"/>
        <w:rPr>
          <w:rFonts w:ascii="Arial Narrow" w:eastAsia="Times New Roman" w:hAnsi="Arial Narrow" w:cs="Arial"/>
          <w:lang w:eastAsia="ar-SA"/>
        </w:rPr>
      </w:pPr>
    </w:p>
    <w:p w14:paraId="3D21E098" w14:textId="77777777" w:rsidR="00AD109C"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Para efectos de claridad, frente a los documentos puntualmente solicitados se precisa: </w:t>
      </w:r>
    </w:p>
    <w:p w14:paraId="614D003A" w14:textId="3F8B230B" w:rsidR="00AD109C" w:rsidRP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El documento metodológico se ubica en la carpeta METODOLOGÍA, junto con la presentación metodológica, el acta de presentación, el plan de trabajo, el Manual de Políticas Públicas, la guía, el plan de medios y los soportes de la ruta técnica; </w:t>
      </w:r>
    </w:p>
    <w:p w14:paraId="528588B6"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El diagnóstico técnico y territorial reposa en la carpeta DIAGNÓSTICO; </w:t>
      </w:r>
    </w:p>
    <w:p w14:paraId="42BEADE1"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El plan estratégico se encuentra en la carpeta PLAN ESTRATÉGICO, con matrices y versiones preliminares (líneas, acciones, metas, indicadores y presupuesto indicativo en construcción); </w:t>
      </w:r>
    </w:p>
    <w:p w14:paraId="695F5AC7"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El cronograma de formulación se soporta en la carpeta METODOLOGÍA, subcarpeta PLAN DE TRABAJO, y en las actas y documentos de seguimiento; </w:t>
      </w:r>
    </w:p>
    <w:p w14:paraId="4C5FFE8A"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Las actas, memorias y soportes de mesas de trabajo se remiten en las carpetas ACTAS DE REUNIÓN y TALLERES; </w:t>
      </w:r>
    </w:p>
    <w:p w14:paraId="035E0B0D"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El listado de actores, organizaciones, gremios o sectores convocados y participantes se soporta en BASE INDICADORES (base de datos de actores) y, complementariamente, en TALLERES y PUBLICACIONES; </w:t>
      </w:r>
    </w:p>
    <w:p w14:paraId="06252141" w14:textId="77777777" w:rsid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 xml:space="preserve">Los documentos preliminares, borradores e insumos técnicos existentes se incorporan de manera transversal en DIAGNÓSTICO, PLAN ESTRATÉGICO, BASE INDICADORES, ENCUESTAS, METODOLOGÍA, NORMATIVA, POLÍTICA PÚBLICA ANTERIOR, PRESENTACIONES y SOLICITUDES; y </w:t>
      </w:r>
    </w:p>
    <w:p w14:paraId="4B50710F" w14:textId="7F9FCDCA" w:rsidR="00607E40" w:rsidRPr="00AD109C" w:rsidRDefault="00AD109C" w:rsidP="00AD109C">
      <w:pPr>
        <w:pStyle w:val="Prrafodelista"/>
        <w:numPr>
          <w:ilvl w:val="0"/>
          <w:numId w:val="7"/>
        </w:numPr>
        <w:spacing w:after="120" w:line="240" w:lineRule="auto"/>
        <w:jc w:val="both"/>
        <w:rPr>
          <w:rFonts w:ascii="Arial Narrow" w:eastAsia="Times New Roman" w:hAnsi="Arial Narrow" w:cs="Arial"/>
          <w:lang w:eastAsia="ar-SA"/>
        </w:rPr>
      </w:pPr>
      <w:r w:rsidRPr="00AD109C">
        <w:rPr>
          <w:rFonts w:ascii="Arial Narrow" w:eastAsia="Times New Roman" w:hAnsi="Arial Narrow" w:cs="Arial"/>
          <w:lang w:eastAsia="ar-SA"/>
        </w:rPr>
        <w:t>Frente a estudios, consultorías, contratos o convenios, se remite la carpeta CONVENIO, con el convenio suscrito entre la Alcaldía de Bucaramanga y la Universidad Pontificia Bolivariana y sus soportes de seguimiento.</w:t>
      </w:r>
    </w:p>
    <w:p w14:paraId="059FECA0" w14:textId="77777777" w:rsidR="00AD109C"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Se reitera que los documentos remitidos corresponden a los insumos disponibles a la fecha y que varios conservan carácter preliminar, en razón a que la política pública aún se encuentra en proceso de formulación, revisión y validación técnica e institucional. </w:t>
      </w:r>
    </w:p>
    <w:p w14:paraId="796CA50E" w14:textId="77777777" w:rsidR="00AD109C" w:rsidRDefault="00AD109C" w:rsidP="00AD109C">
      <w:pPr>
        <w:spacing w:after="0" w:line="240" w:lineRule="auto"/>
        <w:jc w:val="both"/>
        <w:rPr>
          <w:rFonts w:ascii="Arial Narrow" w:eastAsia="Times New Roman" w:hAnsi="Arial Narrow" w:cs="Arial"/>
          <w:lang w:eastAsia="ar-SA"/>
        </w:rPr>
      </w:pPr>
    </w:p>
    <w:p w14:paraId="680E20BE" w14:textId="63456CD2"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En consecuencia, su remisión no constituye adopción formal de la política, aprobación definitiva de sus contenidos, cierre del proceso ni posición institucional definitiva de la Administración Municipal.</w:t>
      </w:r>
    </w:p>
    <w:p w14:paraId="72D228CF" w14:textId="77777777" w:rsidR="00AD109C" w:rsidRDefault="00AD109C" w:rsidP="00AD109C">
      <w:pPr>
        <w:spacing w:after="0" w:line="240" w:lineRule="auto"/>
        <w:jc w:val="both"/>
        <w:rPr>
          <w:rFonts w:ascii="Arial Narrow" w:eastAsia="Times New Roman" w:hAnsi="Arial Narrow" w:cs="Arial"/>
          <w:lang w:eastAsia="ar-SA"/>
        </w:rPr>
      </w:pPr>
    </w:p>
    <w:p w14:paraId="010B0021" w14:textId="77777777" w:rsidR="00607E40" w:rsidRDefault="00000000">
      <w:pPr>
        <w:spacing w:before="160" w:after="120" w:line="240" w:lineRule="auto"/>
        <w:jc w:val="both"/>
        <w:rPr>
          <w:rFonts w:ascii="Arial Narrow" w:eastAsia="Times New Roman" w:hAnsi="Arial Narrow" w:cs="Arial"/>
          <w:b/>
          <w:lang w:eastAsia="ar-SA"/>
        </w:rPr>
      </w:pPr>
      <w:r>
        <w:rPr>
          <w:rFonts w:ascii="Arial Narrow" w:eastAsia="Times New Roman" w:hAnsi="Arial Narrow" w:cs="Arial"/>
          <w:b/>
          <w:lang w:eastAsia="ar-SA"/>
        </w:rPr>
        <w:t>2. Frente a la solicitud de informar cuál ha sido el mecanismo de participación implementado por el INVISBU para garantizar la intervención de organizaciones sociales, gremiales, academia y ciudadanía en general dentro del proceso de formulación:</w:t>
      </w:r>
    </w:p>
    <w:p w14:paraId="28EB9F8B" w14:textId="77777777" w:rsidR="00AD109C" w:rsidRDefault="00AD109C">
      <w:pPr>
        <w:spacing w:before="160" w:after="120" w:line="240" w:lineRule="auto"/>
        <w:jc w:val="both"/>
        <w:rPr>
          <w:rFonts w:ascii="Arial Narrow" w:eastAsia="Times New Roman" w:hAnsi="Arial Narrow" w:cs="Arial"/>
          <w:lang w:eastAsia="ar-SA"/>
        </w:rPr>
      </w:pPr>
    </w:p>
    <w:p w14:paraId="2B257215" w14:textId="77777777" w:rsidR="00AD109C"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lastRenderedPageBreak/>
        <w:t xml:space="preserve">El mecanismo de participación corresponde a una ruta institucional, técnica, participativa e intersectorial de formulación, coordinada metodológicamente por la Secretaría de Planeación Municipal, con acompañamiento académico de la Universidad Pontificia Bolivariana - UPB y articulación del INVISBU como entidad sectorial y misional. </w:t>
      </w:r>
    </w:p>
    <w:p w14:paraId="600058CE" w14:textId="77777777" w:rsidR="00AD109C" w:rsidRDefault="00AD109C" w:rsidP="00AD109C">
      <w:pPr>
        <w:spacing w:after="0" w:line="240" w:lineRule="auto"/>
        <w:jc w:val="both"/>
        <w:rPr>
          <w:rFonts w:ascii="Arial Narrow" w:eastAsia="Times New Roman" w:hAnsi="Arial Narrow" w:cs="Arial"/>
          <w:lang w:eastAsia="ar-SA"/>
        </w:rPr>
      </w:pPr>
    </w:p>
    <w:p w14:paraId="1E10A312" w14:textId="56965323"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Dentro de dicha ruta, el Instituto ha participado aportando información, validación institucional, criterios de viabilidad, revisión del plan estratégico y retroalimentación sobre las acciones, metas, indicadores y presupuesto indicativo de la política pública.</w:t>
      </w:r>
    </w:p>
    <w:p w14:paraId="262BCCB8" w14:textId="77777777" w:rsidR="00AD109C" w:rsidRDefault="00AD109C" w:rsidP="00AD109C">
      <w:pPr>
        <w:spacing w:after="0" w:line="240" w:lineRule="auto"/>
        <w:jc w:val="both"/>
        <w:rPr>
          <w:rFonts w:ascii="Arial Narrow" w:eastAsia="Times New Roman" w:hAnsi="Arial Narrow" w:cs="Arial"/>
          <w:lang w:eastAsia="ar-SA"/>
        </w:rPr>
      </w:pPr>
    </w:p>
    <w:p w14:paraId="7F4C9C0A"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La metodología adoptada prevé el análisis de actores, la recolección y análisis de información primaria y secundaria, el análisis de la oferta institucional y la realización de espacios participativos, con el fin de articular saberes técnicos, comunitarios, académicos, gremiales e institucionales. En concordancia, el proceso integró talleres, mesas técnicas, ejercicios de validación, encuesta pública, socializaciones y publicaciones institucionales, como mecanismos de gobernanza territorial, transparencia y trazabilidad. Estos espacios se vincularon a las fases de diagnóstico, construcción del problema público, identificación de factores de cambio, formulación de escenarios prospectivos, estructuración del plan estratégico, validación presupuestal, participación ciudadana y socialización con actores externos.</w:t>
      </w:r>
    </w:p>
    <w:p w14:paraId="390B214F"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A continuación se relacionan los principales espacios técnicos y participativos adelantados, con su fecha y aforo aproximado:</w:t>
      </w: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5071"/>
        <w:gridCol w:w="2000"/>
        <w:gridCol w:w="1200"/>
      </w:tblGrid>
      <w:tr w:rsidR="00607E40" w14:paraId="4882775E" w14:textId="77777777">
        <w:trPr>
          <w:tblHeader/>
          <w:jc w:val="center"/>
        </w:trPr>
        <w:tc>
          <w:tcPr>
            <w:tcW w:w="507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7B09A4B2"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Espacio</w:t>
            </w:r>
          </w:p>
        </w:tc>
        <w:tc>
          <w:tcPr>
            <w:tcW w:w="20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3C002811"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Fecha</w:t>
            </w:r>
          </w:p>
        </w:tc>
        <w:tc>
          <w:tcPr>
            <w:tcW w:w="12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6D0DE120"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Aforo aprox.</w:t>
            </w:r>
          </w:p>
        </w:tc>
      </w:tr>
      <w:tr w:rsidR="00607E40" w14:paraId="3AA7EB48"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502A3CF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mapeo de actores y nivel de influencia e interés - “Construimos Juntos”</w:t>
            </w:r>
          </w:p>
        </w:tc>
        <w:tc>
          <w:tcPr>
            <w:tcW w:w="2000" w:type="dxa"/>
            <w:tcBorders>
              <w:top w:val="single" w:sz="4" w:space="0" w:color="BFBFBF"/>
              <w:left w:val="single" w:sz="4" w:space="0" w:color="BFBFBF"/>
              <w:bottom w:val="single" w:sz="4" w:space="0" w:color="BFBFBF"/>
              <w:right w:val="single" w:sz="4" w:space="0" w:color="BFBFBF"/>
            </w:tcBorders>
            <w:vAlign w:val="center"/>
          </w:tcPr>
          <w:p w14:paraId="7F71DE8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Junio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4E735C4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57</w:t>
            </w:r>
          </w:p>
        </w:tc>
      </w:tr>
      <w:tr w:rsidR="00607E40" w14:paraId="597CBC13"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56F9FAA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seguimiento y evaluación de políticas públicas</w:t>
            </w:r>
          </w:p>
        </w:tc>
        <w:tc>
          <w:tcPr>
            <w:tcW w:w="2000" w:type="dxa"/>
            <w:tcBorders>
              <w:top w:val="single" w:sz="4" w:space="0" w:color="BFBFBF"/>
              <w:left w:val="single" w:sz="4" w:space="0" w:color="BFBFBF"/>
              <w:bottom w:val="single" w:sz="4" w:space="0" w:color="BFBFBF"/>
              <w:right w:val="single" w:sz="4" w:space="0" w:color="BFBFBF"/>
            </w:tcBorders>
            <w:vAlign w:val="center"/>
          </w:tcPr>
          <w:p w14:paraId="4F12B0A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12 de agosto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1B10403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110</w:t>
            </w:r>
          </w:p>
        </w:tc>
      </w:tr>
      <w:tr w:rsidR="00607E40" w14:paraId="6E1322DB"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2147F7E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construcción de árbol de problemas e identificación de factores de cambio</w:t>
            </w:r>
          </w:p>
        </w:tc>
        <w:tc>
          <w:tcPr>
            <w:tcW w:w="2000" w:type="dxa"/>
            <w:tcBorders>
              <w:top w:val="single" w:sz="4" w:space="0" w:color="BFBFBF"/>
              <w:left w:val="single" w:sz="4" w:space="0" w:color="BFBFBF"/>
              <w:bottom w:val="single" w:sz="4" w:space="0" w:color="BFBFBF"/>
              <w:right w:val="single" w:sz="4" w:space="0" w:color="BFBFBF"/>
            </w:tcBorders>
            <w:vAlign w:val="center"/>
          </w:tcPr>
          <w:p w14:paraId="60FEFC7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15 de agosto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3128320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26</w:t>
            </w:r>
          </w:p>
        </w:tc>
      </w:tr>
      <w:tr w:rsidR="00607E40" w14:paraId="6AE51CDC"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6F2D2B3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institucional de construcción de escenarios prospectivos</w:t>
            </w:r>
          </w:p>
        </w:tc>
        <w:tc>
          <w:tcPr>
            <w:tcW w:w="2000" w:type="dxa"/>
            <w:tcBorders>
              <w:top w:val="single" w:sz="4" w:space="0" w:color="BFBFBF"/>
              <w:left w:val="single" w:sz="4" w:space="0" w:color="BFBFBF"/>
              <w:bottom w:val="single" w:sz="4" w:space="0" w:color="BFBFBF"/>
              <w:right w:val="single" w:sz="4" w:space="0" w:color="BFBFBF"/>
            </w:tcBorders>
            <w:vAlign w:val="center"/>
          </w:tcPr>
          <w:p w14:paraId="32E08A6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26 de agosto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6B2AFAD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12</w:t>
            </w:r>
          </w:p>
        </w:tc>
      </w:tr>
      <w:tr w:rsidR="00607E40" w14:paraId="35806404"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7291045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validación de escenarios</w:t>
            </w:r>
          </w:p>
        </w:tc>
        <w:tc>
          <w:tcPr>
            <w:tcW w:w="2000" w:type="dxa"/>
            <w:tcBorders>
              <w:top w:val="single" w:sz="4" w:space="0" w:color="BFBFBF"/>
              <w:left w:val="single" w:sz="4" w:space="0" w:color="BFBFBF"/>
              <w:bottom w:val="single" w:sz="4" w:space="0" w:color="BFBFBF"/>
              <w:right w:val="single" w:sz="4" w:space="0" w:color="BFBFBF"/>
            </w:tcBorders>
            <w:vAlign w:val="center"/>
          </w:tcPr>
          <w:p w14:paraId="4060E83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29 de agosto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60B9084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15</w:t>
            </w:r>
          </w:p>
        </w:tc>
      </w:tr>
      <w:tr w:rsidR="00607E40" w14:paraId="2B829FB3"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1989B27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interno de construcción del plan estratégico</w:t>
            </w:r>
          </w:p>
        </w:tc>
        <w:tc>
          <w:tcPr>
            <w:tcW w:w="2000" w:type="dxa"/>
            <w:tcBorders>
              <w:top w:val="single" w:sz="4" w:space="0" w:color="BFBFBF"/>
              <w:left w:val="single" w:sz="4" w:space="0" w:color="BFBFBF"/>
              <w:bottom w:val="single" w:sz="4" w:space="0" w:color="BFBFBF"/>
              <w:right w:val="single" w:sz="4" w:space="0" w:color="BFBFBF"/>
            </w:tcBorders>
            <w:vAlign w:val="center"/>
          </w:tcPr>
          <w:p w14:paraId="52903DD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19 de septiembre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02A2682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5</w:t>
            </w:r>
          </w:p>
        </w:tc>
      </w:tr>
      <w:tr w:rsidR="00607E40" w14:paraId="5AA8DF5E"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4D354F5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interinstitucional con INVISBU para construcción del plan estratégico</w:t>
            </w:r>
          </w:p>
        </w:tc>
        <w:tc>
          <w:tcPr>
            <w:tcW w:w="2000" w:type="dxa"/>
            <w:tcBorders>
              <w:top w:val="single" w:sz="4" w:space="0" w:color="BFBFBF"/>
              <w:left w:val="single" w:sz="4" w:space="0" w:color="BFBFBF"/>
              <w:bottom w:val="single" w:sz="4" w:space="0" w:color="BFBFBF"/>
              <w:right w:val="single" w:sz="4" w:space="0" w:color="BFBFBF"/>
            </w:tcBorders>
            <w:vAlign w:val="center"/>
          </w:tcPr>
          <w:p w14:paraId="1131F87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26 de septiembre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45153BE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10</w:t>
            </w:r>
          </w:p>
        </w:tc>
      </w:tr>
      <w:tr w:rsidR="00607E40" w14:paraId="0327236A"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1B8E050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construcción del plan estratégico con INVISBU</w:t>
            </w:r>
          </w:p>
        </w:tc>
        <w:tc>
          <w:tcPr>
            <w:tcW w:w="2000" w:type="dxa"/>
            <w:tcBorders>
              <w:top w:val="single" w:sz="4" w:space="0" w:color="BFBFBF"/>
              <w:left w:val="single" w:sz="4" w:space="0" w:color="BFBFBF"/>
              <w:bottom w:val="single" w:sz="4" w:space="0" w:color="BFBFBF"/>
              <w:right w:val="single" w:sz="4" w:space="0" w:color="BFBFBF"/>
            </w:tcBorders>
            <w:vAlign w:val="center"/>
          </w:tcPr>
          <w:p w14:paraId="3264666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12 de noviembre de 2025</w:t>
            </w:r>
          </w:p>
        </w:tc>
        <w:tc>
          <w:tcPr>
            <w:tcW w:w="1200" w:type="dxa"/>
            <w:tcBorders>
              <w:top w:val="single" w:sz="4" w:space="0" w:color="BFBFBF"/>
              <w:left w:val="single" w:sz="4" w:space="0" w:color="BFBFBF"/>
              <w:bottom w:val="single" w:sz="4" w:space="0" w:color="BFBFBF"/>
              <w:right w:val="single" w:sz="4" w:space="0" w:color="BFBFBF"/>
            </w:tcBorders>
            <w:vAlign w:val="center"/>
          </w:tcPr>
          <w:p w14:paraId="50B9CE2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8</w:t>
            </w:r>
          </w:p>
        </w:tc>
      </w:tr>
      <w:tr w:rsidR="00607E40" w14:paraId="1B4571ED"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0F863A2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virtual de estructuración de encuesta pública</w:t>
            </w:r>
          </w:p>
        </w:tc>
        <w:tc>
          <w:tcPr>
            <w:tcW w:w="2000" w:type="dxa"/>
            <w:tcBorders>
              <w:top w:val="single" w:sz="4" w:space="0" w:color="BFBFBF"/>
              <w:left w:val="single" w:sz="4" w:space="0" w:color="BFBFBF"/>
              <w:bottom w:val="single" w:sz="4" w:space="0" w:color="BFBFBF"/>
              <w:right w:val="single" w:sz="4" w:space="0" w:color="BFBFBF"/>
            </w:tcBorders>
            <w:vAlign w:val="center"/>
          </w:tcPr>
          <w:p w14:paraId="2B72B1A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10 de marzo de 2026</w:t>
            </w:r>
          </w:p>
        </w:tc>
        <w:tc>
          <w:tcPr>
            <w:tcW w:w="1200" w:type="dxa"/>
            <w:tcBorders>
              <w:top w:val="single" w:sz="4" w:space="0" w:color="BFBFBF"/>
              <w:left w:val="single" w:sz="4" w:space="0" w:color="BFBFBF"/>
              <w:bottom w:val="single" w:sz="4" w:space="0" w:color="BFBFBF"/>
              <w:right w:val="single" w:sz="4" w:space="0" w:color="BFBFBF"/>
            </w:tcBorders>
            <w:vAlign w:val="center"/>
          </w:tcPr>
          <w:p w14:paraId="6A174F2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9</w:t>
            </w:r>
          </w:p>
        </w:tc>
      </w:tr>
      <w:tr w:rsidR="00607E40" w14:paraId="25F9F2A8"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52305F3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validación del plan estratégico y presupuesto indicativo con INVISBU</w:t>
            </w:r>
          </w:p>
        </w:tc>
        <w:tc>
          <w:tcPr>
            <w:tcW w:w="2000" w:type="dxa"/>
            <w:tcBorders>
              <w:top w:val="single" w:sz="4" w:space="0" w:color="BFBFBF"/>
              <w:left w:val="single" w:sz="4" w:space="0" w:color="BFBFBF"/>
              <w:bottom w:val="single" w:sz="4" w:space="0" w:color="BFBFBF"/>
              <w:right w:val="single" w:sz="4" w:space="0" w:color="BFBFBF"/>
            </w:tcBorders>
            <w:vAlign w:val="center"/>
          </w:tcPr>
          <w:p w14:paraId="24C2DF0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21 de abril de 2026</w:t>
            </w:r>
          </w:p>
        </w:tc>
        <w:tc>
          <w:tcPr>
            <w:tcW w:w="1200" w:type="dxa"/>
            <w:tcBorders>
              <w:top w:val="single" w:sz="4" w:space="0" w:color="BFBFBF"/>
              <w:left w:val="single" w:sz="4" w:space="0" w:color="BFBFBF"/>
              <w:bottom w:val="single" w:sz="4" w:space="0" w:color="BFBFBF"/>
              <w:right w:val="single" w:sz="4" w:space="0" w:color="BFBFBF"/>
            </w:tcBorders>
            <w:vAlign w:val="center"/>
          </w:tcPr>
          <w:p w14:paraId="62F32C5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9</w:t>
            </w:r>
          </w:p>
        </w:tc>
      </w:tr>
      <w:tr w:rsidR="00607E40" w14:paraId="335BAE96" w14:textId="77777777">
        <w:trPr>
          <w:jc w:val="center"/>
        </w:trPr>
        <w:tc>
          <w:tcPr>
            <w:tcW w:w="5071" w:type="dxa"/>
            <w:tcBorders>
              <w:top w:val="single" w:sz="4" w:space="0" w:color="BFBFBF"/>
              <w:left w:val="single" w:sz="4" w:space="0" w:color="BFBFBF"/>
              <w:bottom w:val="single" w:sz="4" w:space="0" w:color="BFBFBF"/>
              <w:right w:val="single" w:sz="4" w:space="0" w:color="BFBFBF"/>
            </w:tcBorders>
            <w:vAlign w:val="center"/>
          </w:tcPr>
          <w:p w14:paraId="00DEEF1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con gremios privados y actores del sector privado</w:t>
            </w:r>
          </w:p>
        </w:tc>
        <w:tc>
          <w:tcPr>
            <w:tcW w:w="2000" w:type="dxa"/>
            <w:tcBorders>
              <w:top w:val="single" w:sz="4" w:space="0" w:color="BFBFBF"/>
              <w:left w:val="single" w:sz="4" w:space="0" w:color="BFBFBF"/>
              <w:bottom w:val="single" w:sz="4" w:space="0" w:color="BFBFBF"/>
              <w:right w:val="single" w:sz="4" w:space="0" w:color="BFBFBF"/>
            </w:tcBorders>
            <w:vAlign w:val="center"/>
          </w:tcPr>
          <w:p w14:paraId="03866FC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13 de mayo de 2026</w:t>
            </w:r>
          </w:p>
        </w:tc>
        <w:tc>
          <w:tcPr>
            <w:tcW w:w="1200" w:type="dxa"/>
            <w:tcBorders>
              <w:top w:val="single" w:sz="4" w:space="0" w:color="BFBFBF"/>
              <w:left w:val="single" w:sz="4" w:space="0" w:color="BFBFBF"/>
              <w:bottom w:val="single" w:sz="4" w:space="0" w:color="BFBFBF"/>
              <w:right w:val="single" w:sz="4" w:space="0" w:color="BFBFBF"/>
            </w:tcBorders>
            <w:vAlign w:val="center"/>
          </w:tcPr>
          <w:p w14:paraId="577B619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14</w:t>
            </w:r>
          </w:p>
        </w:tc>
      </w:tr>
    </w:tbl>
    <w:p w14:paraId="5F458B14" w14:textId="77777777" w:rsidR="00607E40" w:rsidRDefault="00607E40">
      <w:pPr>
        <w:spacing w:after="80" w:line="240" w:lineRule="auto"/>
        <w:rPr>
          <w:rFonts w:ascii="Arial Narrow" w:eastAsia="Times New Roman" w:hAnsi="Arial Narrow" w:cs="Arial"/>
          <w:lang w:eastAsia="ar-SA"/>
        </w:rPr>
      </w:pPr>
    </w:p>
    <w:p w14:paraId="09F56F43"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En conjunto, estos espacios representan un aforo aproximado de doscientas setenta y cinco (275) participaciones directas, sin incluir el alcance de publicaciones, piezas de comunicación, videos institucionales, convocatorias ni la participación derivada de la encuesta pública. Cada espacio aportó al proceso así:</w:t>
      </w:r>
    </w:p>
    <w:p w14:paraId="27BA0D85"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mapeo de actores - “Construimos Juntos” (junio de 2025). </w:t>
      </w:r>
      <w:r>
        <w:rPr>
          <w:rFonts w:ascii="Arial Narrow" w:eastAsia="Times New Roman" w:hAnsi="Arial Narrow" w:cs="Arial"/>
          <w:lang w:eastAsia="ar-SA"/>
        </w:rPr>
        <w:t>Punto de partida de la estrategia de participación interinstitucional; permitió identificar, clasificar y caracterizar actores públicos, privados, académicos, gremiales, comunitarios y sociales con incidencia en vivienda, hábitat, suelo, servicios públicos, financiación y control, valorando su nivel de influencia e interés mediante herramientas digitales (Mentimeter y códigos QR).</w:t>
      </w:r>
    </w:p>
    <w:p w14:paraId="27A5794A"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seguimiento y evaluación de políticas públicas (12 de agosto de 2025). </w:t>
      </w:r>
      <w:r>
        <w:rPr>
          <w:rFonts w:ascii="Arial Narrow" w:eastAsia="Times New Roman" w:hAnsi="Arial Narrow" w:cs="Arial"/>
          <w:lang w:eastAsia="ar-SA"/>
        </w:rPr>
        <w:t>Ejercicio institucional transversal de seguimiento y retroalimentación; mediante mesas por política pública permitió revisar avances, dificultades, necesidades de articulación y oportunidades de mejora, reafirmando la importancia de la trazabilidad documental, los indicadores y los mecanismos de seguimiento.</w:t>
      </w:r>
    </w:p>
    <w:p w14:paraId="122ADAC9"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árbol de problemas e identificación de factores de cambio (15 de agosto de 2025). </w:t>
      </w:r>
      <w:r>
        <w:rPr>
          <w:rFonts w:ascii="Arial Narrow" w:eastAsia="Times New Roman" w:hAnsi="Arial Narrow" w:cs="Arial"/>
          <w:lang w:eastAsia="ar-SA"/>
        </w:rPr>
        <w:t xml:space="preserve">Mesa técnica entre la Secretaría de Planeación, el INVISBU y la academia (UPB); aplicó el marco lógico y el árbol de problemas para delimitar el problema público, sus causas directas e indirectas, sus </w:t>
      </w:r>
      <w:r>
        <w:rPr>
          <w:rFonts w:ascii="Arial Narrow" w:eastAsia="Times New Roman" w:hAnsi="Arial Narrow" w:cs="Arial"/>
          <w:lang w:eastAsia="ar-SA"/>
        </w:rPr>
        <w:lastRenderedPageBreak/>
        <w:t>consecuencias y los factores de cambio, soporte del posterior árbol de objetivos y del componente estratégico.</w:t>
      </w:r>
    </w:p>
    <w:p w14:paraId="11180EC3"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construcción de escenarios prospectivos (26 de agosto de 2025). </w:t>
      </w:r>
      <w:r>
        <w:rPr>
          <w:rFonts w:ascii="Arial Narrow" w:eastAsia="Times New Roman" w:hAnsi="Arial Narrow" w:cs="Arial"/>
          <w:lang w:eastAsia="ar-SA"/>
        </w:rPr>
        <w:t>Construyó escenarios prospectivos a partir de los factores de cambio y el árbol de problemas; permitió valorar riesgos y oportunidades y analizar trayectorias frente a variables institucionales, sociales, económicas, técnicas, normativas y territoriales del acceso a vivienda digna y el hábitat sostenible.</w:t>
      </w:r>
    </w:p>
    <w:p w14:paraId="62FB1C17"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validación de escenarios (29 de agosto de 2025). </w:t>
      </w:r>
      <w:r>
        <w:rPr>
          <w:rFonts w:ascii="Arial Narrow" w:eastAsia="Times New Roman" w:hAnsi="Arial Narrow" w:cs="Arial"/>
          <w:lang w:eastAsia="ar-SA"/>
        </w:rPr>
        <w:t>Previa convocatoria pública, contó con actores externos (Secretaría de Desarrollo Social, UMGRD, delegada de tierras de la Superintendencia de Notariado y Registro, AMB, Secretaría del Interior, Defensoría del Pueblo, Universidad Santo Tomás, medios y CAMACOL); permitió contrastar los escenarios con la lectura social, territorial e intersectorial del territorio.</w:t>
      </w:r>
    </w:p>
    <w:p w14:paraId="5671829C"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interno de construcción del plan estratégico (19 de septiembre de 2025). </w:t>
      </w:r>
      <w:r>
        <w:rPr>
          <w:rFonts w:ascii="Arial Narrow" w:eastAsia="Times New Roman" w:hAnsi="Arial Narrow" w:cs="Arial"/>
          <w:lang w:eastAsia="ar-SA"/>
        </w:rPr>
        <w:t>Espacio técnico del equipo formulador para iniciar el componente estratégico a partir del diagnóstico, el árbol de problemas, los factores de cambio y los escenarios; consolidó una primera matriz de intervención pública.</w:t>
      </w:r>
    </w:p>
    <w:p w14:paraId="5BAC75DC"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interinstitucional con INVISBU (26 de septiembre de 2025). </w:t>
      </w:r>
      <w:r>
        <w:rPr>
          <w:rFonts w:ascii="Arial Narrow" w:eastAsia="Times New Roman" w:hAnsi="Arial Narrow" w:cs="Arial"/>
          <w:lang w:eastAsia="ar-SA"/>
        </w:rPr>
        <w:t>Revisó y retroalimentó la matriz estratégica preliminar con el INVISBU como entidad misional, verificando la correspondencia entre problema público, líneas estratégicas, acciones y responsables, fortaleciendo la pertinencia y la articulación técnico-operativa.</w:t>
      </w:r>
    </w:p>
    <w:p w14:paraId="023254F0"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construcción del plan estratégico con INVISBU (12 de noviembre de 2025). </w:t>
      </w:r>
      <w:r>
        <w:rPr>
          <w:rFonts w:ascii="Arial Narrow" w:eastAsia="Times New Roman" w:hAnsi="Arial Narrow" w:cs="Arial"/>
          <w:lang w:eastAsia="ar-SA"/>
        </w:rPr>
        <w:t>Profundizó líneas de acción, indicadores, responsables, corresponsables y priorización, alimentando la matriz con criterios de viabilidad sectorial en acceso a vivienda digna, ordenamiento territorial, fortalecimiento técnico-jurídico y articulación institucional.</w:t>
      </w:r>
    </w:p>
    <w:p w14:paraId="5FF130C2"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virtual de estructuración de encuesta pública (10 de marzo de 2026). </w:t>
      </w:r>
      <w:r>
        <w:rPr>
          <w:rFonts w:ascii="Arial Narrow" w:eastAsia="Times New Roman" w:hAnsi="Arial Narrow" w:cs="Arial"/>
          <w:lang w:eastAsia="ar-SA"/>
        </w:rPr>
        <w:t>Con el equipo formulador, el Observatorio de Políticas Públicas y el INVISBU, revisó la estructura, pertinencia y utilidad diagnóstica de la encuesta pública, instrumento de participación ciudadana y recolección de información primaria sometido a revisión técnica previa.</w:t>
      </w:r>
    </w:p>
    <w:p w14:paraId="42E87DD0" w14:textId="77777777" w:rsidR="00607E40" w:rsidRDefault="00000000">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de validación del plan estratégico y presupuesto indicativo con INVISBU (21 de abril de 2026). </w:t>
      </w:r>
      <w:r>
        <w:rPr>
          <w:rFonts w:ascii="Arial Narrow" w:eastAsia="Times New Roman" w:hAnsi="Arial Narrow" w:cs="Arial"/>
          <w:lang w:eastAsia="ar-SA"/>
        </w:rPr>
        <w:t>Revisó la matriz del plan estratégico y su articulación con el árbol de problemas, así como el presupuesto indicativo (ejercicio técnico preliminar), acordando remitir la matriz ajustada y definir la ruta de mesas técnicas con responsables y corresponsables.</w:t>
      </w:r>
    </w:p>
    <w:p w14:paraId="6C2F5E4A" w14:textId="77777777"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b/>
          <w:lang w:eastAsia="ar-SA"/>
        </w:rPr>
        <w:t xml:space="preserve">Taller con gremios privados - “Construyendo Hábitat, Proyectando Ciudad” (13 de mayo de 2026). </w:t>
      </w:r>
      <w:r>
        <w:rPr>
          <w:rFonts w:ascii="Arial Narrow" w:eastAsia="Times New Roman" w:hAnsi="Arial Narrow" w:cs="Arial"/>
          <w:lang w:eastAsia="ar-SA"/>
        </w:rPr>
        <w:t>Dirigido a gremios y actores del sector privado (CAMACOL, Sociedad Colombiana de Arquitectos - Regional Santander, entre otros); socializó avances, presentó el diagnóstico y retroalimentó el plan de acción preliminar, fortaleciendo el enfoque intersectorial y la gobernanza territorial.</w:t>
      </w:r>
    </w:p>
    <w:p w14:paraId="7A001D33" w14:textId="77777777" w:rsidR="00AD109C" w:rsidRDefault="00AD109C" w:rsidP="00AD109C">
      <w:pPr>
        <w:spacing w:after="0" w:line="240" w:lineRule="auto"/>
        <w:jc w:val="both"/>
        <w:rPr>
          <w:rFonts w:ascii="Arial Narrow" w:eastAsia="Times New Roman" w:hAnsi="Arial Narrow" w:cs="Arial"/>
          <w:lang w:eastAsia="ar-SA"/>
        </w:rPr>
      </w:pPr>
    </w:p>
    <w:p w14:paraId="704132E4" w14:textId="77777777"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Adicionalmente, el proceso incorporó publicaciones, piezas de convocatoria, videos y estrategias de comunicación institucional (lanzamiento de políticas públicas, convocatoria a gremios y comunidades, webinar académico, laboratorio de innovación y evento Repensar las Políticas Públicas), cuyos soportes reposan en la carpeta digital remitida y acreditan que la formulación no se desarrolló únicamente en espacios internos, sino con mecanismos de divulgación y transparencia hacia actores externos y ciudadanía en general.</w:t>
      </w:r>
    </w:p>
    <w:p w14:paraId="06015F5B" w14:textId="77777777" w:rsidR="00AD109C" w:rsidRDefault="00AD109C" w:rsidP="00AD109C">
      <w:pPr>
        <w:spacing w:after="0" w:line="240" w:lineRule="auto"/>
        <w:jc w:val="both"/>
        <w:rPr>
          <w:rFonts w:ascii="Arial Narrow" w:eastAsia="Times New Roman" w:hAnsi="Arial Narrow" w:cs="Arial"/>
          <w:lang w:eastAsia="ar-SA"/>
        </w:rPr>
      </w:pPr>
    </w:p>
    <w:p w14:paraId="104A5855" w14:textId="77777777" w:rsidR="00607E40" w:rsidRDefault="00000000" w:rsidP="00AD109C">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En consecuencia, la participación se ha garantizado mediante una ruta progresiva y verificable de gobernanza territorial que integró actores institucionales, academia, INVISBU, ciudadanía, comunidad, gremios privados y sectores estratégicos, dejando soporte documental, fotográfico y metodológico en la carpeta digital de insumos.</w:t>
      </w:r>
    </w:p>
    <w:p w14:paraId="76657D2E" w14:textId="77777777" w:rsidR="00AD109C" w:rsidRDefault="00AD109C" w:rsidP="00AD109C">
      <w:pPr>
        <w:spacing w:after="0" w:line="240" w:lineRule="auto"/>
        <w:jc w:val="both"/>
        <w:rPr>
          <w:rFonts w:ascii="Arial Narrow" w:eastAsia="Times New Roman" w:hAnsi="Arial Narrow" w:cs="Arial"/>
          <w:lang w:eastAsia="ar-SA"/>
        </w:rPr>
      </w:pPr>
    </w:p>
    <w:p w14:paraId="0F2B5FF7" w14:textId="77777777" w:rsidR="00607E40" w:rsidRDefault="00000000" w:rsidP="00AD109C">
      <w:pPr>
        <w:spacing w:before="160" w:after="0" w:line="240" w:lineRule="auto"/>
        <w:jc w:val="both"/>
        <w:rPr>
          <w:rFonts w:ascii="Arial Narrow" w:eastAsia="Times New Roman" w:hAnsi="Arial Narrow" w:cs="Arial"/>
          <w:lang w:eastAsia="ar-SA"/>
        </w:rPr>
      </w:pPr>
      <w:r>
        <w:rPr>
          <w:rFonts w:ascii="Arial Narrow" w:eastAsia="Times New Roman" w:hAnsi="Arial Narrow" w:cs="Arial"/>
          <w:b/>
          <w:lang w:eastAsia="ar-SA"/>
        </w:rPr>
        <w:t>3. Frente a la solicitud de informar el estado actual del proceso de formulación de la Política Pública de Vivienda y Hábitat, indicando porcentaje de avance, etapas surtidas y etapas pendientes:</w:t>
      </w:r>
    </w:p>
    <w:p w14:paraId="0E0D4B38" w14:textId="77777777"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lastRenderedPageBreak/>
        <w:t>La formulación inició en mayo de 2025 y, con corte al 30 de mayo de 2026, se encuentra en fase avanzada de consolidación técnica, validación institucional y preparación de los insumos requeridos para su posterior trámite de adopción. El avance consolidado reportado es del setenta y cinco por ciento (75 %), de acuerdo con la matriz de seguimiento tipo semáforo. La evolución reportada del indicador ha sido: febrero 61 %, 18 de marzo 62 %, 6 de abril 65 %, 24 de abril 70 % y 30 de mayo 75 %.</w:t>
      </w:r>
    </w:p>
    <w:p w14:paraId="287A01E3" w14:textId="77777777" w:rsidR="00DC52EF" w:rsidRDefault="00DC52EF" w:rsidP="00DC52EF">
      <w:pPr>
        <w:spacing w:after="0" w:line="240" w:lineRule="auto"/>
        <w:jc w:val="both"/>
        <w:rPr>
          <w:rFonts w:ascii="Arial Narrow" w:eastAsia="Times New Roman" w:hAnsi="Arial Narrow" w:cs="Arial"/>
          <w:lang w:eastAsia="ar-SA"/>
        </w:rPr>
      </w:pPr>
    </w:p>
    <w:p w14:paraId="2F0B5792" w14:textId="77777777"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Dicho porcentaje debe entenderse como un indicador técnico interno de seguimiento al ciclo de formulación. En consecuencia, no equivale a adopción formal de la política, aprobación definitiva de sus contenidos, cierre jurídico del instrumento ni agotamiento de las etapas de validación institucional. El estado por componente, con corte al 30 de mayo de 2026, es el siguiente:</w:t>
      </w:r>
    </w:p>
    <w:p w14:paraId="7BA12198" w14:textId="77777777" w:rsidR="00DC52EF" w:rsidRDefault="00DC52EF" w:rsidP="00DC52EF">
      <w:pPr>
        <w:spacing w:after="0" w:line="240" w:lineRule="auto"/>
        <w:jc w:val="both"/>
        <w:rPr>
          <w:rFonts w:ascii="Arial Narrow" w:eastAsia="Times New Roman" w:hAnsi="Arial Narrow" w:cs="Arial"/>
          <w:lang w:eastAsia="ar-SA"/>
        </w:rPr>
      </w:pP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2750"/>
        <w:gridCol w:w="800"/>
        <w:gridCol w:w="1300"/>
        <w:gridCol w:w="3421"/>
      </w:tblGrid>
      <w:tr w:rsidR="00607E40" w14:paraId="67582A7B" w14:textId="77777777">
        <w:trPr>
          <w:tblHeader/>
          <w:jc w:val="center"/>
        </w:trPr>
        <w:tc>
          <w:tcPr>
            <w:tcW w:w="27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612B46AA"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Componente</w:t>
            </w:r>
          </w:p>
        </w:tc>
        <w:tc>
          <w:tcPr>
            <w:tcW w:w="8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5442E4AA"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Avance</w:t>
            </w:r>
          </w:p>
        </w:tc>
        <w:tc>
          <w:tcPr>
            <w:tcW w:w="13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254B1FBB"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Estado</w:t>
            </w:r>
          </w:p>
        </w:tc>
        <w:tc>
          <w:tcPr>
            <w:tcW w:w="342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4E0D17D5"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Lectura institucional</w:t>
            </w:r>
          </w:p>
        </w:tc>
      </w:tr>
      <w:tr w:rsidR="00607E40" w14:paraId="1E64B708"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3C62A44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Conformación del equipo técnico y político</w:t>
            </w:r>
          </w:p>
        </w:tc>
        <w:tc>
          <w:tcPr>
            <w:tcW w:w="800" w:type="dxa"/>
            <w:tcBorders>
              <w:top w:val="single" w:sz="4" w:space="0" w:color="BFBFBF"/>
              <w:left w:val="single" w:sz="4" w:space="0" w:color="BFBFBF"/>
              <w:bottom w:val="single" w:sz="4" w:space="0" w:color="BFBFBF"/>
              <w:right w:val="single" w:sz="4" w:space="0" w:color="BFBFBF"/>
            </w:tcBorders>
            <w:vAlign w:val="center"/>
          </w:tcPr>
          <w:p w14:paraId="2F45DBD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2610887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635065F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Equipo formulador consolidado con Secretaría de Planeación, UPB e INVISBU.</w:t>
            </w:r>
          </w:p>
        </w:tc>
      </w:tr>
      <w:tr w:rsidR="00607E40" w14:paraId="0A184BA6"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18CE82E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Preparación de agenda pública y plan de trabajo</w:t>
            </w:r>
          </w:p>
        </w:tc>
        <w:tc>
          <w:tcPr>
            <w:tcW w:w="800" w:type="dxa"/>
            <w:tcBorders>
              <w:top w:val="single" w:sz="4" w:space="0" w:color="BFBFBF"/>
              <w:left w:val="single" w:sz="4" w:space="0" w:color="BFBFBF"/>
              <w:bottom w:val="single" w:sz="4" w:space="0" w:color="BFBFBF"/>
              <w:right w:val="single" w:sz="4" w:space="0" w:color="BFBFBF"/>
            </w:tcBorders>
            <w:vAlign w:val="center"/>
          </w:tcPr>
          <w:p w14:paraId="457FA47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4CD541F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2C4FBD2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Cronograma y ruta metodológica definidos desde la fase inicial.</w:t>
            </w:r>
          </w:p>
        </w:tc>
      </w:tr>
      <w:tr w:rsidR="00607E40" w14:paraId="7C361A08"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611AE7E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Mapeo de actores</w:t>
            </w:r>
          </w:p>
        </w:tc>
        <w:tc>
          <w:tcPr>
            <w:tcW w:w="800" w:type="dxa"/>
            <w:tcBorders>
              <w:top w:val="single" w:sz="4" w:space="0" w:color="BFBFBF"/>
              <w:left w:val="single" w:sz="4" w:space="0" w:color="BFBFBF"/>
              <w:bottom w:val="single" w:sz="4" w:space="0" w:color="BFBFBF"/>
              <w:right w:val="single" w:sz="4" w:space="0" w:color="BFBFBF"/>
            </w:tcBorders>
            <w:vAlign w:val="center"/>
          </w:tcPr>
          <w:p w14:paraId="603FAFD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064A591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6D47F2A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Identificación de actores institucionales, académicos, sociales, gremiales y privados.</w:t>
            </w:r>
          </w:p>
        </w:tc>
      </w:tr>
      <w:tr w:rsidR="00607E40" w14:paraId="3C0265F8"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4291ABD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Componente político y normativo</w:t>
            </w:r>
          </w:p>
        </w:tc>
        <w:tc>
          <w:tcPr>
            <w:tcW w:w="800" w:type="dxa"/>
            <w:tcBorders>
              <w:top w:val="single" w:sz="4" w:space="0" w:color="BFBFBF"/>
              <w:left w:val="single" w:sz="4" w:space="0" w:color="BFBFBF"/>
              <w:bottom w:val="single" w:sz="4" w:space="0" w:color="BFBFBF"/>
              <w:right w:val="single" w:sz="4" w:space="0" w:color="BFBFBF"/>
            </w:tcBorders>
            <w:vAlign w:val="center"/>
          </w:tcPr>
          <w:p w14:paraId="697AA94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21BCF5E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6931F14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Marco normativo y de planeación consolidado.</w:t>
            </w:r>
          </w:p>
        </w:tc>
      </w:tr>
      <w:tr w:rsidR="00607E40" w14:paraId="061B5BF0"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430EBCE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Componente referencial</w:t>
            </w:r>
          </w:p>
        </w:tc>
        <w:tc>
          <w:tcPr>
            <w:tcW w:w="800" w:type="dxa"/>
            <w:tcBorders>
              <w:top w:val="single" w:sz="4" w:space="0" w:color="BFBFBF"/>
              <w:left w:val="single" w:sz="4" w:space="0" w:color="BFBFBF"/>
              <w:bottom w:val="single" w:sz="4" w:space="0" w:color="BFBFBF"/>
              <w:right w:val="single" w:sz="4" w:space="0" w:color="BFBFBF"/>
            </w:tcBorders>
            <w:vAlign w:val="center"/>
          </w:tcPr>
          <w:p w14:paraId="2770B8C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2A6DE7F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5567B1C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Referentes técnicos, conceptuales y sectoriales incorporados.</w:t>
            </w:r>
          </w:p>
        </w:tc>
      </w:tr>
      <w:tr w:rsidR="00607E40" w14:paraId="31423FC5"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62A2AE5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Diseño metodológico</w:t>
            </w:r>
          </w:p>
        </w:tc>
        <w:tc>
          <w:tcPr>
            <w:tcW w:w="800" w:type="dxa"/>
            <w:tcBorders>
              <w:top w:val="single" w:sz="4" w:space="0" w:color="BFBFBF"/>
              <w:left w:val="single" w:sz="4" w:space="0" w:color="BFBFBF"/>
              <w:bottom w:val="single" w:sz="4" w:space="0" w:color="BFBFBF"/>
              <w:right w:val="single" w:sz="4" w:space="0" w:color="BFBFBF"/>
            </w:tcBorders>
            <w:vAlign w:val="center"/>
          </w:tcPr>
          <w:p w14:paraId="160773F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36F85FD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71825D4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Ruta de formulación construida con base en el Manual de Políticas Públicas y el marco lógico.</w:t>
            </w:r>
          </w:p>
        </w:tc>
      </w:tr>
      <w:tr w:rsidR="00607E40" w14:paraId="62F850E5"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5595388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Componente estratégico</w:t>
            </w:r>
          </w:p>
        </w:tc>
        <w:tc>
          <w:tcPr>
            <w:tcW w:w="800" w:type="dxa"/>
            <w:tcBorders>
              <w:top w:val="single" w:sz="4" w:space="0" w:color="BFBFBF"/>
              <w:left w:val="single" w:sz="4" w:space="0" w:color="BFBFBF"/>
              <w:bottom w:val="single" w:sz="4" w:space="0" w:color="BFBFBF"/>
              <w:right w:val="single" w:sz="4" w:space="0" w:color="BFBFBF"/>
            </w:tcBorders>
            <w:vAlign w:val="center"/>
          </w:tcPr>
          <w:p w14:paraId="58A5F28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100 %</w:t>
            </w:r>
          </w:p>
        </w:tc>
        <w:tc>
          <w:tcPr>
            <w:tcW w:w="1300" w:type="dxa"/>
            <w:tcBorders>
              <w:top w:val="single" w:sz="4" w:space="0" w:color="BFBFBF"/>
              <w:left w:val="single" w:sz="4" w:space="0" w:color="BFBFBF"/>
              <w:bottom w:val="single" w:sz="4" w:space="0" w:color="BFBFBF"/>
              <w:right w:val="single" w:sz="4" w:space="0" w:color="BFBFBF"/>
            </w:tcBorders>
            <w:vAlign w:val="center"/>
          </w:tcPr>
          <w:p w14:paraId="7155DEF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Surtida</w:t>
            </w:r>
          </w:p>
        </w:tc>
        <w:tc>
          <w:tcPr>
            <w:tcW w:w="3421" w:type="dxa"/>
            <w:tcBorders>
              <w:top w:val="single" w:sz="4" w:space="0" w:color="BFBFBF"/>
              <w:left w:val="single" w:sz="4" w:space="0" w:color="BFBFBF"/>
              <w:bottom w:val="single" w:sz="4" w:space="0" w:color="BFBFBF"/>
              <w:right w:val="single" w:sz="4" w:space="0" w:color="BFBFBF"/>
            </w:tcBorders>
            <w:vAlign w:val="center"/>
          </w:tcPr>
          <w:p w14:paraId="06576CD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Ejes, líneas de acción, acciones, metas, indicadores y responsables estructurados.</w:t>
            </w:r>
          </w:p>
        </w:tc>
      </w:tr>
      <w:tr w:rsidR="00607E40" w14:paraId="58D67C98"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6B444FA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Diagnóstico cuantitativo</w:t>
            </w:r>
          </w:p>
        </w:tc>
        <w:tc>
          <w:tcPr>
            <w:tcW w:w="800" w:type="dxa"/>
            <w:tcBorders>
              <w:top w:val="single" w:sz="4" w:space="0" w:color="BFBFBF"/>
              <w:left w:val="single" w:sz="4" w:space="0" w:color="BFBFBF"/>
              <w:bottom w:val="single" w:sz="4" w:space="0" w:color="BFBFBF"/>
              <w:right w:val="single" w:sz="4" w:space="0" w:color="BFBFBF"/>
            </w:tcBorders>
            <w:vAlign w:val="center"/>
          </w:tcPr>
          <w:p w14:paraId="36AFF00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95 %</w:t>
            </w:r>
          </w:p>
        </w:tc>
        <w:tc>
          <w:tcPr>
            <w:tcW w:w="1300" w:type="dxa"/>
            <w:tcBorders>
              <w:top w:val="single" w:sz="4" w:space="0" w:color="BFBFBF"/>
              <w:left w:val="single" w:sz="4" w:space="0" w:color="BFBFBF"/>
              <w:bottom w:val="single" w:sz="4" w:space="0" w:color="BFBFBF"/>
              <w:right w:val="single" w:sz="4" w:space="0" w:color="BFBFBF"/>
            </w:tcBorders>
            <w:vAlign w:val="center"/>
          </w:tcPr>
          <w:p w14:paraId="16978E2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cierre</w:t>
            </w:r>
          </w:p>
        </w:tc>
        <w:tc>
          <w:tcPr>
            <w:tcW w:w="3421" w:type="dxa"/>
            <w:tcBorders>
              <w:top w:val="single" w:sz="4" w:space="0" w:color="BFBFBF"/>
              <w:left w:val="single" w:sz="4" w:space="0" w:color="BFBFBF"/>
              <w:bottom w:val="single" w:sz="4" w:space="0" w:color="BFBFBF"/>
              <w:right w:val="single" w:sz="4" w:space="0" w:color="BFBFBF"/>
            </w:tcBorders>
            <w:vAlign w:val="center"/>
          </w:tcPr>
          <w:p w14:paraId="4F35AA6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Documento técnico ajustado con fuentes oficiales y variables territoriales, socioeconómicas y sectoriales.</w:t>
            </w:r>
          </w:p>
        </w:tc>
      </w:tr>
      <w:tr w:rsidR="00607E40" w14:paraId="79003B51"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3776AAE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Diagnóstico cualitativo</w:t>
            </w:r>
          </w:p>
        </w:tc>
        <w:tc>
          <w:tcPr>
            <w:tcW w:w="800" w:type="dxa"/>
            <w:tcBorders>
              <w:top w:val="single" w:sz="4" w:space="0" w:color="BFBFBF"/>
              <w:left w:val="single" w:sz="4" w:space="0" w:color="BFBFBF"/>
              <w:bottom w:val="single" w:sz="4" w:space="0" w:color="BFBFBF"/>
              <w:right w:val="single" w:sz="4" w:space="0" w:color="BFBFBF"/>
            </w:tcBorders>
            <w:vAlign w:val="center"/>
          </w:tcPr>
          <w:p w14:paraId="5E868DD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90 %</w:t>
            </w:r>
          </w:p>
        </w:tc>
        <w:tc>
          <w:tcPr>
            <w:tcW w:w="1300" w:type="dxa"/>
            <w:tcBorders>
              <w:top w:val="single" w:sz="4" w:space="0" w:color="BFBFBF"/>
              <w:left w:val="single" w:sz="4" w:space="0" w:color="BFBFBF"/>
              <w:bottom w:val="single" w:sz="4" w:space="0" w:color="BFBFBF"/>
              <w:right w:val="single" w:sz="4" w:space="0" w:color="BFBFBF"/>
            </w:tcBorders>
            <w:vAlign w:val="center"/>
          </w:tcPr>
          <w:p w14:paraId="6AFD81D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consolidación</w:t>
            </w:r>
          </w:p>
        </w:tc>
        <w:tc>
          <w:tcPr>
            <w:tcW w:w="3421" w:type="dxa"/>
            <w:tcBorders>
              <w:top w:val="single" w:sz="4" w:space="0" w:color="BFBFBF"/>
              <w:left w:val="single" w:sz="4" w:space="0" w:color="BFBFBF"/>
              <w:bottom w:val="single" w:sz="4" w:space="0" w:color="BFBFBF"/>
              <w:right w:val="single" w:sz="4" w:space="0" w:color="BFBFBF"/>
            </w:tcBorders>
            <w:vAlign w:val="center"/>
          </w:tcPr>
          <w:p w14:paraId="1A6A3F0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Alimentado por talleres, encuesta pública, aportes del INVISBU y lectura sectorial.</w:t>
            </w:r>
          </w:p>
        </w:tc>
      </w:tr>
      <w:tr w:rsidR="00607E40" w14:paraId="0ACF769B"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18F07B7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Socialización y validación del diagnóstico</w:t>
            </w:r>
          </w:p>
        </w:tc>
        <w:tc>
          <w:tcPr>
            <w:tcW w:w="800" w:type="dxa"/>
            <w:tcBorders>
              <w:top w:val="single" w:sz="4" w:space="0" w:color="BFBFBF"/>
              <w:left w:val="single" w:sz="4" w:space="0" w:color="BFBFBF"/>
              <w:bottom w:val="single" w:sz="4" w:space="0" w:color="BFBFBF"/>
              <w:right w:val="single" w:sz="4" w:space="0" w:color="BFBFBF"/>
            </w:tcBorders>
            <w:vAlign w:val="center"/>
          </w:tcPr>
          <w:p w14:paraId="5CBDC44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90 %</w:t>
            </w:r>
          </w:p>
        </w:tc>
        <w:tc>
          <w:tcPr>
            <w:tcW w:w="1300" w:type="dxa"/>
            <w:tcBorders>
              <w:top w:val="single" w:sz="4" w:space="0" w:color="BFBFBF"/>
              <w:left w:val="single" w:sz="4" w:space="0" w:color="BFBFBF"/>
              <w:bottom w:val="single" w:sz="4" w:space="0" w:color="BFBFBF"/>
              <w:right w:val="single" w:sz="4" w:space="0" w:color="BFBFBF"/>
            </w:tcBorders>
            <w:vAlign w:val="center"/>
          </w:tcPr>
          <w:p w14:paraId="771F79C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consolidación</w:t>
            </w:r>
          </w:p>
        </w:tc>
        <w:tc>
          <w:tcPr>
            <w:tcW w:w="3421" w:type="dxa"/>
            <w:tcBorders>
              <w:top w:val="single" w:sz="4" w:space="0" w:color="BFBFBF"/>
              <w:left w:val="single" w:sz="4" w:space="0" w:color="BFBFBF"/>
              <w:bottom w:val="single" w:sz="4" w:space="0" w:color="BFBFBF"/>
              <w:right w:val="single" w:sz="4" w:space="0" w:color="BFBFBF"/>
            </w:tcBorders>
            <w:vAlign w:val="center"/>
          </w:tcPr>
          <w:p w14:paraId="0D90E5E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Validaciones parciales surtidas; pendientes espacios complementarios.</w:t>
            </w:r>
          </w:p>
        </w:tc>
      </w:tr>
      <w:tr w:rsidR="00607E40" w14:paraId="022884A3"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5405BC9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Socialización y validación del componente estratégico</w:t>
            </w:r>
          </w:p>
        </w:tc>
        <w:tc>
          <w:tcPr>
            <w:tcW w:w="800" w:type="dxa"/>
            <w:tcBorders>
              <w:top w:val="single" w:sz="4" w:space="0" w:color="BFBFBF"/>
              <w:left w:val="single" w:sz="4" w:space="0" w:color="BFBFBF"/>
              <w:bottom w:val="single" w:sz="4" w:space="0" w:color="BFBFBF"/>
              <w:right w:val="single" w:sz="4" w:space="0" w:color="BFBFBF"/>
            </w:tcBorders>
            <w:vAlign w:val="center"/>
          </w:tcPr>
          <w:p w14:paraId="7B2029F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95 %</w:t>
            </w:r>
          </w:p>
        </w:tc>
        <w:tc>
          <w:tcPr>
            <w:tcW w:w="1300" w:type="dxa"/>
            <w:tcBorders>
              <w:top w:val="single" w:sz="4" w:space="0" w:color="BFBFBF"/>
              <w:left w:val="single" w:sz="4" w:space="0" w:color="BFBFBF"/>
              <w:bottom w:val="single" w:sz="4" w:space="0" w:color="BFBFBF"/>
              <w:right w:val="single" w:sz="4" w:space="0" w:color="BFBFBF"/>
            </w:tcBorders>
            <w:vAlign w:val="center"/>
          </w:tcPr>
          <w:p w14:paraId="1BF5FAE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cierre</w:t>
            </w:r>
          </w:p>
        </w:tc>
        <w:tc>
          <w:tcPr>
            <w:tcW w:w="3421" w:type="dxa"/>
            <w:tcBorders>
              <w:top w:val="single" w:sz="4" w:space="0" w:color="BFBFBF"/>
              <w:left w:val="single" w:sz="4" w:space="0" w:color="BFBFBF"/>
              <w:bottom w:val="single" w:sz="4" w:space="0" w:color="BFBFBF"/>
              <w:right w:val="single" w:sz="4" w:space="0" w:color="BFBFBF"/>
            </w:tcBorders>
            <w:vAlign w:val="center"/>
          </w:tcPr>
          <w:p w14:paraId="46A6A58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Revisado con INVISBU y socializado con actores sectoriales.</w:t>
            </w:r>
          </w:p>
        </w:tc>
      </w:tr>
      <w:tr w:rsidR="00607E40" w14:paraId="44A4860E"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6774FFD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Componente de financiación</w:t>
            </w:r>
          </w:p>
        </w:tc>
        <w:tc>
          <w:tcPr>
            <w:tcW w:w="800" w:type="dxa"/>
            <w:tcBorders>
              <w:top w:val="single" w:sz="4" w:space="0" w:color="BFBFBF"/>
              <w:left w:val="single" w:sz="4" w:space="0" w:color="BFBFBF"/>
              <w:bottom w:val="single" w:sz="4" w:space="0" w:color="BFBFBF"/>
              <w:right w:val="single" w:sz="4" w:space="0" w:color="BFBFBF"/>
            </w:tcBorders>
            <w:vAlign w:val="center"/>
          </w:tcPr>
          <w:p w14:paraId="0E887FE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95 %</w:t>
            </w:r>
          </w:p>
        </w:tc>
        <w:tc>
          <w:tcPr>
            <w:tcW w:w="1300" w:type="dxa"/>
            <w:tcBorders>
              <w:top w:val="single" w:sz="4" w:space="0" w:color="BFBFBF"/>
              <w:left w:val="single" w:sz="4" w:space="0" w:color="BFBFBF"/>
              <w:bottom w:val="single" w:sz="4" w:space="0" w:color="BFBFBF"/>
              <w:right w:val="single" w:sz="4" w:space="0" w:color="BFBFBF"/>
            </w:tcBorders>
            <w:vAlign w:val="center"/>
          </w:tcPr>
          <w:p w14:paraId="25A0923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cierre</w:t>
            </w:r>
          </w:p>
        </w:tc>
        <w:tc>
          <w:tcPr>
            <w:tcW w:w="3421" w:type="dxa"/>
            <w:tcBorders>
              <w:top w:val="single" w:sz="4" w:space="0" w:color="BFBFBF"/>
              <w:left w:val="single" w:sz="4" w:space="0" w:color="BFBFBF"/>
              <w:bottom w:val="single" w:sz="4" w:space="0" w:color="BFBFBF"/>
              <w:right w:val="single" w:sz="4" w:space="0" w:color="BFBFBF"/>
            </w:tcBorders>
            <w:vAlign w:val="center"/>
          </w:tcPr>
          <w:p w14:paraId="1C174AF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Presupuesto indicativo estructurado; pendiente validación financiera definitiva.</w:t>
            </w:r>
          </w:p>
        </w:tc>
      </w:tr>
      <w:tr w:rsidR="00607E40" w14:paraId="77998E0E"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76B79F2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Seguimiento y evaluación</w:t>
            </w:r>
          </w:p>
        </w:tc>
        <w:tc>
          <w:tcPr>
            <w:tcW w:w="800" w:type="dxa"/>
            <w:tcBorders>
              <w:top w:val="single" w:sz="4" w:space="0" w:color="BFBFBF"/>
              <w:left w:val="single" w:sz="4" w:space="0" w:color="BFBFBF"/>
              <w:bottom w:val="single" w:sz="4" w:space="0" w:color="BFBFBF"/>
              <w:right w:val="single" w:sz="4" w:space="0" w:color="BFBFBF"/>
            </w:tcBorders>
            <w:vAlign w:val="center"/>
          </w:tcPr>
          <w:p w14:paraId="7D6078D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95 %</w:t>
            </w:r>
          </w:p>
        </w:tc>
        <w:tc>
          <w:tcPr>
            <w:tcW w:w="1300" w:type="dxa"/>
            <w:tcBorders>
              <w:top w:val="single" w:sz="4" w:space="0" w:color="BFBFBF"/>
              <w:left w:val="single" w:sz="4" w:space="0" w:color="BFBFBF"/>
              <w:bottom w:val="single" w:sz="4" w:space="0" w:color="BFBFBF"/>
              <w:right w:val="single" w:sz="4" w:space="0" w:color="BFBFBF"/>
            </w:tcBorders>
            <w:vAlign w:val="center"/>
          </w:tcPr>
          <w:p w14:paraId="7909F2B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cierre</w:t>
            </w:r>
          </w:p>
        </w:tc>
        <w:tc>
          <w:tcPr>
            <w:tcW w:w="3421" w:type="dxa"/>
            <w:tcBorders>
              <w:top w:val="single" w:sz="4" w:space="0" w:color="BFBFBF"/>
              <w:left w:val="single" w:sz="4" w:space="0" w:color="BFBFBF"/>
              <w:bottom w:val="single" w:sz="4" w:space="0" w:color="BFBFBF"/>
              <w:right w:val="single" w:sz="4" w:space="0" w:color="BFBFBF"/>
            </w:tcBorders>
            <w:vAlign w:val="center"/>
          </w:tcPr>
          <w:p w14:paraId="0DB1C32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Indicadores y mecanismos de seguimiento incorporados en matriz.</w:t>
            </w:r>
          </w:p>
        </w:tc>
      </w:tr>
      <w:tr w:rsidR="00607E40" w14:paraId="11DB724E"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58EBA0D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Documento técnico de política pública</w:t>
            </w:r>
          </w:p>
        </w:tc>
        <w:tc>
          <w:tcPr>
            <w:tcW w:w="800" w:type="dxa"/>
            <w:tcBorders>
              <w:top w:val="single" w:sz="4" w:space="0" w:color="BFBFBF"/>
              <w:left w:val="single" w:sz="4" w:space="0" w:color="BFBFBF"/>
              <w:bottom w:val="single" w:sz="4" w:space="0" w:color="BFBFBF"/>
              <w:right w:val="single" w:sz="4" w:space="0" w:color="BFBFBF"/>
            </w:tcBorders>
            <w:vAlign w:val="center"/>
          </w:tcPr>
          <w:p w14:paraId="6285B4A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95 %</w:t>
            </w:r>
          </w:p>
        </w:tc>
        <w:tc>
          <w:tcPr>
            <w:tcW w:w="1300" w:type="dxa"/>
            <w:tcBorders>
              <w:top w:val="single" w:sz="4" w:space="0" w:color="BFBFBF"/>
              <w:left w:val="single" w:sz="4" w:space="0" w:color="BFBFBF"/>
              <w:bottom w:val="single" w:sz="4" w:space="0" w:color="BFBFBF"/>
              <w:right w:val="single" w:sz="4" w:space="0" w:color="BFBFBF"/>
            </w:tcBorders>
            <w:vAlign w:val="center"/>
          </w:tcPr>
          <w:p w14:paraId="3E70BAD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cierre</w:t>
            </w:r>
          </w:p>
        </w:tc>
        <w:tc>
          <w:tcPr>
            <w:tcW w:w="3421" w:type="dxa"/>
            <w:tcBorders>
              <w:top w:val="single" w:sz="4" w:space="0" w:color="BFBFBF"/>
              <w:left w:val="single" w:sz="4" w:space="0" w:color="BFBFBF"/>
              <w:bottom w:val="single" w:sz="4" w:space="0" w:color="BFBFBF"/>
              <w:right w:val="single" w:sz="4" w:space="0" w:color="BFBFBF"/>
            </w:tcBorders>
            <w:vAlign w:val="center"/>
          </w:tcPr>
          <w:p w14:paraId="05BBD4B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Documento en depuración técnica final.</w:t>
            </w:r>
          </w:p>
        </w:tc>
      </w:tr>
      <w:tr w:rsidR="00607E40" w14:paraId="2AF97FA7"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2ABCD24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Proyecto de acuerdo</w:t>
            </w:r>
          </w:p>
        </w:tc>
        <w:tc>
          <w:tcPr>
            <w:tcW w:w="800" w:type="dxa"/>
            <w:tcBorders>
              <w:top w:val="single" w:sz="4" w:space="0" w:color="BFBFBF"/>
              <w:left w:val="single" w:sz="4" w:space="0" w:color="BFBFBF"/>
              <w:bottom w:val="single" w:sz="4" w:space="0" w:color="BFBFBF"/>
              <w:right w:val="single" w:sz="4" w:space="0" w:color="BFBFBF"/>
            </w:tcBorders>
            <w:vAlign w:val="center"/>
          </w:tcPr>
          <w:p w14:paraId="28DCEE7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70 %</w:t>
            </w:r>
          </w:p>
        </w:tc>
        <w:tc>
          <w:tcPr>
            <w:tcW w:w="1300" w:type="dxa"/>
            <w:tcBorders>
              <w:top w:val="single" w:sz="4" w:space="0" w:color="BFBFBF"/>
              <w:left w:val="single" w:sz="4" w:space="0" w:color="BFBFBF"/>
              <w:bottom w:val="single" w:sz="4" w:space="0" w:color="BFBFBF"/>
              <w:right w:val="single" w:sz="4" w:space="0" w:color="BFBFBF"/>
            </w:tcBorders>
            <w:vAlign w:val="center"/>
          </w:tcPr>
          <w:p w14:paraId="3EB586A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En estructuración</w:t>
            </w:r>
          </w:p>
        </w:tc>
        <w:tc>
          <w:tcPr>
            <w:tcW w:w="3421" w:type="dxa"/>
            <w:tcBorders>
              <w:top w:val="single" w:sz="4" w:space="0" w:color="BFBFBF"/>
              <w:left w:val="single" w:sz="4" w:space="0" w:color="BFBFBF"/>
              <w:bottom w:val="single" w:sz="4" w:space="0" w:color="BFBFBF"/>
              <w:right w:val="single" w:sz="4" w:space="0" w:color="BFBFBF"/>
            </w:tcBorders>
            <w:vAlign w:val="center"/>
          </w:tcPr>
          <w:p w14:paraId="54FA8CD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Borrador técnico-jurídico en revisión.</w:t>
            </w:r>
          </w:p>
        </w:tc>
      </w:tr>
      <w:tr w:rsidR="00607E40" w14:paraId="11F63FD7" w14:textId="77777777">
        <w:trPr>
          <w:jc w:val="center"/>
        </w:trPr>
        <w:tc>
          <w:tcPr>
            <w:tcW w:w="2750" w:type="dxa"/>
            <w:tcBorders>
              <w:top w:val="single" w:sz="4" w:space="0" w:color="BFBFBF"/>
              <w:left w:val="single" w:sz="4" w:space="0" w:color="BFBFBF"/>
              <w:bottom w:val="single" w:sz="4" w:space="0" w:color="BFBFBF"/>
              <w:right w:val="single" w:sz="4" w:space="0" w:color="BFBFBF"/>
            </w:tcBorders>
            <w:vAlign w:val="center"/>
          </w:tcPr>
          <w:p w14:paraId="40A2ECF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COMPOS, radicación y adopción</w:t>
            </w:r>
          </w:p>
        </w:tc>
        <w:tc>
          <w:tcPr>
            <w:tcW w:w="800" w:type="dxa"/>
            <w:tcBorders>
              <w:top w:val="single" w:sz="4" w:space="0" w:color="BFBFBF"/>
              <w:left w:val="single" w:sz="4" w:space="0" w:color="BFBFBF"/>
              <w:bottom w:val="single" w:sz="4" w:space="0" w:color="BFBFBF"/>
              <w:right w:val="single" w:sz="4" w:space="0" w:color="BFBFBF"/>
            </w:tcBorders>
            <w:vAlign w:val="center"/>
          </w:tcPr>
          <w:p w14:paraId="45692AD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0 %</w:t>
            </w:r>
          </w:p>
        </w:tc>
        <w:tc>
          <w:tcPr>
            <w:tcW w:w="1300" w:type="dxa"/>
            <w:tcBorders>
              <w:top w:val="single" w:sz="4" w:space="0" w:color="BFBFBF"/>
              <w:left w:val="single" w:sz="4" w:space="0" w:color="BFBFBF"/>
              <w:bottom w:val="single" w:sz="4" w:space="0" w:color="BFBFBF"/>
              <w:right w:val="single" w:sz="4" w:space="0" w:color="BFBFBF"/>
            </w:tcBorders>
            <w:vAlign w:val="center"/>
          </w:tcPr>
          <w:p w14:paraId="6E9CC6D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Pendiente</w:t>
            </w:r>
          </w:p>
        </w:tc>
        <w:tc>
          <w:tcPr>
            <w:tcW w:w="3421" w:type="dxa"/>
            <w:tcBorders>
              <w:top w:val="single" w:sz="4" w:space="0" w:color="BFBFBF"/>
              <w:left w:val="single" w:sz="4" w:space="0" w:color="BFBFBF"/>
              <w:bottom w:val="single" w:sz="4" w:space="0" w:color="BFBFBF"/>
              <w:right w:val="single" w:sz="4" w:space="0" w:color="BFBFBF"/>
            </w:tcBorders>
            <w:vAlign w:val="center"/>
          </w:tcPr>
          <w:p w14:paraId="0F85901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7"/>
                <w:szCs w:val="17"/>
                <w:lang w:eastAsia="ar-SA"/>
              </w:rPr>
              <w:t>Etapas posteriores al cierre técnico, financiero y jurídico.</w:t>
            </w:r>
          </w:p>
        </w:tc>
      </w:tr>
    </w:tbl>
    <w:p w14:paraId="2EFBE164" w14:textId="77777777" w:rsidR="00607E40" w:rsidRDefault="00607E40">
      <w:pPr>
        <w:spacing w:after="80" w:line="240" w:lineRule="auto"/>
        <w:rPr>
          <w:rFonts w:ascii="Arial Narrow" w:eastAsia="Times New Roman" w:hAnsi="Arial Narrow" w:cs="Arial"/>
          <w:lang w:eastAsia="ar-SA"/>
        </w:rPr>
      </w:pPr>
    </w:p>
    <w:p w14:paraId="10027B58"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La trazabilidad metodológica acumulada del proceso, indicando cómo cada fase aportó al avance técnico, se sintetiza así:</w:t>
      </w:r>
    </w:p>
    <w:p w14:paraId="6B5B426E" w14:textId="77777777" w:rsidR="00DC52EF" w:rsidRDefault="00DC52EF">
      <w:pPr>
        <w:spacing w:after="120" w:line="240" w:lineRule="auto"/>
        <w:jc w:val="both"/>
        <w:rPr>
          <w:rFonts w:ascii="Arial Narrow" w:eastAsia="Times New Roman" w:hAnsi="Arial Narrow" w:cs="Arial"/>
          <w:lang w:eastAsia="ar-SA"/>
        </w:rPr>
      </w:pP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1450"/>
        <w:gridCol w:w="1700"/>
        <w:gridCol w:w="2700"/>
        <w:gridCol w:w="2421"/>
      </w:tblGrid>
      <w:tr w:rsidR="00607E40" w14:paraId="170A6B4F" w14:textId="77777777">
        <w:trPr>
          <w:tblHeader/>
          <w:jc w:val="center"/>
        </w:trPr>
        <w:tc>
          <w:tcPr>
            <w:tcW w:w="14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4A42936B"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Periodo</w:t>
            </w:r>
          </w:p>
        </w:tc>
        <w:tc>
          <w:tcPr>
            <w:tcW w:w="17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771E4F67"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Fase metodológica</w:t>
            </w:r>
          </w:p>
        </w:tc>
        <w:tc>
          <w:tcPr>
            <w:tcW w:w="27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60D912F5"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Actuación principal</w:t>
            </w:r>
          </w:p>
        </w:tc>
        <w:tc>
          <w:tcPr>
            <w:tcW w:w="242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02B93A9E"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Resultado para la formulación</w:t>
            </w:r>
          </w:p>
        </w:tc>
      </w:tr>
      <w:tr w:rsidR="00607E40" w14:paraId="36D09714"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05C37A1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Mayo de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37306EC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Alistamiento institucional</w:t>
            </w:r>
          </w:p>
        </w:tc>
        <w:tc>
          <w:tcPr>
            <w:tcW w:w="2700" w:type="dxa"/>
            <w:tcBorders>
              <w:top w:val="single" w:sz="4" w:space="0" w:color="BFBFBF"/>
              <w:left w:val="single" w:sz="4" w:space="0" w:color="BFBFBF"/>
              <w:bottom w:val="single" w:sz="4" w:space="0" w:color="BFBFBF"/>
              <w:right w:val="single" w:sz="4" w:space="0" w:color="BFBFBF"/>
            </w:tcBorders>
            <w:vAlign w:val="center"/>
          </w:tcPr>
          <w:p w14:paraId="58174DC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Reunión inicial con INVISBU, conformación del equipo técnico-político, definición de agenda, plan de trabajo y ruta metodológica.</w:t>
            </w:r>
          </w:p>
        </w:tc>
        <w:tc>
          <w:tcPr>
            <w:tcW w:w="2421" w:type="dxa"/>
            <w:tcBorders>
              <w:top w:val="single" w:sz="4" w:space="0" w:color="BFBFBF"/>
              <w:left w:val="single" w:sz="4" w:space="0" w:color="BFBFBF"/>
              <w:bottom w:val="single" w:sz="4" w:space="0" w:color="BFBFBF"/>
              <w:right w:val="single" w:sz="4" w:space="0" w:color="BFBFBF"/>
            </w:tcBorders>
            <w:vAlign w:val="center"/>
          </w:tcPr>
          <w:p w14:paraId="11103BB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Inicio formal del proceso y delimitación de responsabilidades entre Secretaría de Planeación, INVISBU y UPB.</w:t>
            </w:r>
          </w:p>
        </w:tc>
      </w:tr>
      <w:tr w:rsidR="00607E40" w14:paraId="2CAC32AE"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7B40B6C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Mayo-junio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7CB1BCD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Diseño metodológico y de comunicación</w:t>
            </w:r>
          </w:p>
        </w:tc>
        <w:tc>
          <w:tcPr>
            <w:tcW w:w="2700" w:type="dxa"/>
            <w:tcBorders>
              <w:top w:val="single" w:sz="4" w:space="0" w:color="BFBFBF"/>
              <w:left w:val="single" w:sz="4" w:space="0" w:color="BFBFBF"/>
              <w:bottom w:val="single" w:sz="4" w:space="0" w:color="BFBFBF"/>
              <w:right w:val="single" w:sz="4" w:space="0" w:color="BFBFBF"/>
            </w:tcBorders>
            <w:vAlign w:val="center"/>
          </w:tcPr>
          <w:p w14:paraId="49A5C94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Entrega de documentos metodológicos, estrategia de comunicaciones, bases de actores y preparación de convocatorias.</w:t>
            </w:r>
          </w:p>
        </w:tc>
        <w:tc>
          <w:tcPr>
            <w:tcW w:w="2421" w:type="dxa"/>
            <w:tcBorders>
              <w:top w:val="single" w:sz="4" w:space="0" w:color="BFBFBF"/>
              <w:left w:val="single" w:sz="4" w:space="0" w:color="BFBFBF"/>
              <w:bottom w:val="single" w:sz="4" w:space="0" w:color="BFBFBF"/>
              <w:right w:val="single" w:sz="4" w:space="0" w:color="BFBFBF"/>
            </w:tcBorders>
            <w:vAlign w:val="center"/>
          </w:tcPr>
          <w:p w14:paraId="7827DF3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Estructuración de la ruta de trabajo, enfoque participativo y mecanismos de recolección de información.</w:t>
            </w:r>
          </w:p>
        </w:tc>
      </w:tr>
      <w:tr w:rsidR="00607E40" w14:paraId="456DD7B6"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6520F91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lastRenderedPageBreak/>
              <w:t>Junio de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3D00532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Apertura pública y mapeo de actores</w:t>
            </w:r>
          </w:p>
        </w:tc>
        <w:tc>
          <w:tcPr>
            <w:tcW w:w="2700" w:type="dxa"/>
            <w:tcBorders>
              <w:top w:val="single" w:sz="4" w:space="0" w:color="BFBFBF"/>
              <w:left w:val="single" w:sz="4" w:space="0" w:color="BFBFBF"/>
              <w:bottom w:val="single" w:sz="4" w:space="0" w:color="BFBFBF"/>
              <w:right w:val="single" w:sz="4" w:space="0" w:color="BFBFBF"/>
            </w:tcBorders>
            <w:vAlign w:val="center"/>
          </w:tcPr>
          <w:p w14:paraId="5081CAD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Lanzamiento institucional del ciclo de políticas públicas y taller de mapeo de actores y oferta institucional.</w:t>
            </w:r>
          </w:p>
        </w:tc>
        <w:tc>
          <w:tcPr>
            <w:tcW w:w="2421" w:type="dxa"/>
            <w:tcBorders>
              <w:top w:val="single" w:sz="4" w:space="0" w:color="BFBFBF"/>
              <w:left w:val="single" w:sz="4" w:space="0" w:color="BFBFBF"/>
              <w:bottom w:val="single" w:sz="4" w:space="0" w:color="BFBFBF"/>
              <w:right w:val="single" w:sz="4" w:space="0" w:color="BFBFBF"/>
            </w:tcBorders>
            <w:vAlign w:val="center"/>
          </w:tcPr>
          <w:p w14:paraId="1E4E85C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Identificación de actores clave, niveles de influencia, intereses, oferta institucional y posibles alianzas.</w:t>
            </w:r>
          </w:p>
        </w:tc>
      </w:tr>
      <w:tr w:rsidR="00607E40" w14:paraId="59D5CFDC"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21F94D7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Junio-septiembre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741D9AB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Marco normativo, referencial y revisión documental</w:t>
            </w:r>
          </w:p>
        </w:tc>
        <w:tc>
          <w:tcPr>
            <w:tcW w:w="2700" w:type="dxa"/>
            <w:tcBorders>
              <w:top w:val="single" w:sz="4" w:space="0" w:color="BFBFBF"/>
              <w:left w:val="single" w:sz="4" w:space="0" w:color="BFBFBF"/>
              <w:bottom w:val="single" w:sz="4" w:space="0" w:color="BFBFBF"/>
              <w:right w:val="single" w:sz="4" w:space="0" w:color="BFBFBF"/>
            </w:tcBorders>
            <w:vAlign w:val="center"/>
          </w:tcPr>
          <w:p w14:paraId="2EC5E33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Revisión de fuentes normativas, POT, PDM, política anterior, documentos sectoriales e informes de gestión.</w:t>
            </w:r>
          </w:p>
        </w:tc>
        <w:tc>
          <w:tcPr>
            <w:tcW w:w="2421" w:type="dxa"/>
            <w:tcBorders>
              <w:top w:val="single" w:sz="4" w:space="0" w:color="BFBFBF"/>
              <w:left w:val="single" w:sz="4" w:space="0" w:color="BFBFBF"/>
              <w:bottom w:val="single" w:sz="4" w:space="0" w:color="BFBFBF"/>
              <w:right w:val="single" w:sz="4" w:space="0" w:color="BFBFBF"/>
            </w:tcBorders>
            <w:vAlign w:val="center"/>
          </w:tcPr>
          <w:p w14:paraId="78AB2C7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Consolidación del soporte jurídico, técnico y conceptual de la política pública.</w:t>
            </w:r>
          </w:p>
        </w:tc>
      </w:tr>
      <w:tr w:rsidR="00607E40" w14:paraId="0FF96241"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7A9403D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Julio-diciembre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1B65001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Diagnóstico documental, cuantitativo y cualitativo</w:t>
            </w:r>
          </w:p>
        </w:tc>
        <w:tc>
          <w:tcPr>
            <w:tcW w:w="2700" w:type="dxa"/>
            <w:tcBorders>
              <w:top w:val="single" w:sz="4" w:space="0" w:color="BFBFBF"/>
              <w:left w:val="single" w:sz="4" w:space="0" w:color="BFBFBF"/>
              <w:bottom w:val="single" w:sz="4" w:space="0" w:color="BFBFBF"/>
              <w:right w:val="single" w:sz="4" w:space="0" w:color="BFBFBF"/>
            </w:tcBorders>
            <w:vAlign w:val="center"/>
          </w:tcPr>
          <w:p w14:paraId="0CC04A7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Construcción y ajuste progresivo del diagnóstico, articulando fuentes oficiales, información sectorial y hallazgos participativos.</w:t>
            </w:r>
          </w:p>
        </w:tc>
        <w:tc>
          <w:tcPr>
            <w:tcW w:w="2421" w:type="dxa"/>
            <w:tcBorders>
              <w:top w:val="single" w:sz="4" w:space="0" w:color="BFBFBF"/>
              <w:left w:val="single" w:sz="4" w:space="0" w:color="BFBFBF"/>
              <w:bottom w:val="single" w:sz="4" w:space="0" w:color="BFBFBF"/>
              <w:right w:val="single" w:sz="4" w:space="0" w:color="BFBFBF"/>
            </w:tcBorders>
            <w:vAlign w:val="center"/>
          </w:tcPr>
          <w:p w14:paraId="47F4A8B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Base técnica para identificar el problema público, causas, consecuencias, brechas y necesidades habitacionales.</w:t>
            </w:r>
          </w:p>
        </w:tc>
      </w:tr>
      <w:tr w:rsidR="00607E40" w14:paraId="72F19DEB"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6D3B0F0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Agosto de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0DBD9C2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Problema público y factores de cambio</w:t>
            </w:r>
          </w:p>
        </w:tc>
        <w:tc>
          <w:tcPr>
            <w:tcW w:w="2700" w:type="dxa"/>
            <w:tcBorders>
              <w:top w:val="single" w:sz="4" w:space="0" w:color="BFBFBF"/>
              <w:left w:val="single" w:sz="4" w:space="0" w:color="BFBFBF"/>
              <w:bottom w:val="single" w:sz="4" w:space="0" w:color="BFBFBF"/>
              <w:right w:val="single" w:sz="4" w:space="0" w:color="BFBFBF"/>
            </w:tcBorders>
            <w:vAlign w:val="center"/>
          </w:tcPr>
          <w:p w14:paraId="3E1D293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Aplicación del marco lógico, árbol de problemas e identificación de factores de cambio.</w:t>
            </w:r>
          </w:p>
        </w:tc>
        <w:tc>
          <w:tcPr>
            <w:tcW w:w="2421" w:type="dxa"/>
            <w:tcBorders>
              <w:top w:val="single" w:sz="4" w:space="0" w:color="BFBFBF"/>
              <w:left w:val="single" w:sz="4" w:space="0" w:color="BFBFBF"/>
              <w:bottom w:val="single" w:sz="4" w:space="0" w:color="BFBFBF"/>
              <w:right w:val="single" w:sz="4" w:space="0" w:color="BFBFBF"/>
            </w:tcBorders>
            <w:vAlign w:val="center"/>
          </w:tcPr>
          <w:p w14:paraId="7FC2E5A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Delimitación causal del problema de vivienda y hábitat y soporte del árbol de objetivos.</w:t>
            </w:r>
          </w:p>
        </w:tc>
      </w:tr>
      <w:tr w:rsidR="00607E40" w14:paraId="3E439099"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3A44479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Agosto de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687C4CF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Prospectiva y validación de escenarios</w:t>
            </w:r>
          </w:p>
        </w:tc>
        <w:tc>
          <w:tcPr>
            <w:tcW w:w="2700" w:type="dxa"/>
            <w:tcBorders>
              <w:top w:val="single" w:sz="4" w:space="0" w:color="BFBFBF"/>
              <w:left w:val="single" w:sz="4" w:space="0" w:color="BFBFBF"/>
              <w:bottom w:val="single" w:sz="4" w:space="0" w:color="BFBFBF"/>
              <w:right w:val="single" w:sz="4" w:space="0" w:color="BFBFBF"/>
            </w:tcBorders>
            <w:vAlign w:val="center"/>
          </w:tcPr>
          <w:p w14:paraId="03A288E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Construcción técnica y validación de escenarios con actores públicos, privados, académicos, gremiales e institucionales.</w:t>
            </w:r>
          </w:p>
        </w:tc>
        <w:tc>
          <w:tcPr>
            <w:tcW w:w="2421" w:type="dxa"/>
            <w:tcBorders>
              <w:top w:val="single" w:sz="4" w:space="0" w:color="BFBFBF"/>
              <w:left w:val="single" w:sz="4" w:space="0" w:color="BFBFBF"/>
              <w:bottom w:val="single" w:sz="4" w:space="0" w:color="BFBFBF"/>
              <w:right w:val="single" w:sz="4" w:space="0" w:color="BFBFBF"/>
            </w:tcBorders>
            <w:vAlign w:val="center"/>
          </w:tcPr>
          <w:p w14:paraId="0D6A336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Incorporación de lectura territorial, sectorial y social para orientar la visión de largo plazo.</w:t>
            </w:r>
          </w:p>
        </w:tc>
      </w:tr>
      <w:tr w:rsidR="00607E40" w14:paraId="5A6EFECF"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410F19A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Septiembre-noviembre 2025</w:t>
            </w:r>
          </w:p>
        </w:tc>
        <w:tc>
          <w:tcPr>
            <w:tcW w:w="1700" w:type="dxa"/>
            <w:tcBorders>
              <w:top w:val="single" w:sz="4" w:space="0" w:color="BFBFBF"/>
              <w:left w:val="single" w:sz="4" w:space="0" w:color="BFBFBF"/>
              <w:bottom w:val="single" w:sz="4" w:space="0" w:color="BFBFBF"/>
              <w:right w:val="single" w:sz="4" w:space="0" w:color="BFBFBF"/>
            </w:tcBorders>
            <w:vAlign w:val="center"/>
          </w:tcPr>
          <w:p w14:paraId="7B58980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Estructuración de estrategia preliminar</w:t>
            </w:r>
          </w:p>
        </w:tc>
        <w:tc>
          <w:tcPr>
            <w:tcW w:w="2700" w:type="dxa"/>
            <w:tcBorders>
              <w:top w:val="single" w:sz="4" w:space="0" w:color="BFBFBF"/>
              <w:left w:val="single" w:sz="4" w:space="0" w:color="BFBFBF"/>
              <w:bottom w:val="single" w:sz="4" w:space="0" w:color="BFBFBF"/>
              <w:right w:val="single" w:sz="4" w:space="0" w:color="BFBFBF"/>
            </w:tcBorders>
            <w:vAlign w:val="center"/>
          </w:tcPr>
          <w:p w14:paraId="10CD156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Construcción interna e interinstitucional del plan estratégico con Secretaría de Planeación, UPB e INVISBU.</w:t>
            </w:r>
          </w:p>
        </w:tc>
        <w:tc>
          <w:tcPr>
            <w:tcW w:w="2421" w:type="dxa"/>
            <w:tcBorders>
              <w:top w:val="single" w:sz="4" w:space="0" w:color="BFBFBF"/>
              <w:left w:val="single" w:sz="4" w:space="0" w:color="BFBFBF"/>
              <w:bottom w:val="single" w:sz="4" w:space="0" w:color="BFBFBF"/>
              <w:right w:val="single" w:sz="4" w:space="0" w:color="BFBFBF"/>
            </w:tcBorders>
            <w:vAlign w:val="center"/>
          </w:tcPr>
          <w:p w14:paraId="26BA76D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Definición preliminar de ejes, líneas de acción, acciones, metas, indicadores, responsables y corresponsables.</w:t>
            </w:r>
          </w:p>
        </w:tc>
      </w:tr>
      <w:tr w:rsidR="00607E40" w14:paraId="35E27AB3"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6F32351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Febrero-marzo 2026</w:t>
            </w:r>
          </w:p>
        </w:tc>
        <w:tc>
          <w:tcPr>
            <w:tcW w:w="1700" w:type="dxa"/>
            <w:tcBorders>
              <w:top w:val="single" w:sz="4" w:space="0" w:color="BFBFBF"/>
              <w:left w:val="single" w:sz="4" w:space="0" w:color="BFBFBF"/>
              <w:bottom w:val="single" w:sz="4" w:space="0" w:color="BFBFBF"/>
              <w:right w:val="single" w:sz="4" w:space="0" w:color="BFBFBF"/>
            </w:tcBorders>
            <w:vAlign w:val="center"/>
          </w:tcPr>
          <w:p w14:paraId="742AE6A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Revisión y ajuste de instrumentos</w:t>
            </w:r>
          </w:p>
        </w:tc>
        <w:tc>
          <w:tcPr>
            <w:tcW w:w="2700" w:type="dxa"/>
            <w:tcBorders>
              <w:top w:val="single" w:sz="4" w:space="0" w:color="BFBFBF"/>
              <w:left w:val="single" w:sz="4" w:space="0" w:color="BFBFBF"/>
              <w:bottom w:val="single" w:sz="4" w:space="0" w:color="BFBFBF"/>
              <w:right w:val="single" w:sz="4" w:space="0" w:color="BFBFBF"/>
            </w:tcBorders>
            <w:vAlign w:val="center"/>
          </w:tcPr>
          <w:p w14:paraId="2CDE885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Reuniones de seguimiento, revisión de insumos y estructuración y ajuste de la encuesta pública.</w:t>
            </w:r>
          </w:p>
        </w:tc>
        <w:tc>
          <w:tcPr>
            <w:tcW w:w="2421" w:type="dxa"/>
            <w:tcBorders>
              <w:top w:val="single" w:sz="4" w:space="0" w:color="BFBFBF"/>
              <w:left w:val="single" w:sz="4" w:space="0" w:color="BFBFBF"/>
              <w:bottom w:val="single" w:sz="4" w:space="0" w:color="BFBFBF"/>
              <w:right w:val="single" w:sz="4" w:space="0" w:color="BFBFBF"/>
            </w:tcBorders>
            <w:vAlign w:val="center"/>
          </w:tcPr>
          <w:p w14:paraId="7020D04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Fortalecimiento del diagnóstico cualitativo y del instrumento de percepción ciudadana.</w:t>
            </w:r>
          </w:p>
        </w:tc>
      </w:tr>
      <w:tr w:rsidR="00607E40" w14:paraId="5A99B730"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4C89EF4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Abril de 2026</w:t>
            </w:r>
          </w:p>
        </w:tc>
        <w:tc>
          <w:tcPr>
            <w:tcW w:w="1700" w:type="dxa"/>
            <w:tcBorders>
              <w:top w:val="single" w:sz="4" w:space="0" w:color="BFBFBF"/>
              <w:left w:val="single" w:sz="4" w:space="0" w:color="BFBFBF"/>
              <w:bottom w:val="single" w:sz="4" w:space="0" w:color="BFBFBF"/>
              <w:right w:val="single" w:sz="4" w:space="0" w:color="BFBFBF"/>
            </w:tcBorders>
            <w:vAlign w:val="center"/>
          </w:tcPr>
          <w:p w14:paraId="62AD773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Validación técnica y presupuesto indicativo</w:t>
            </w:r>
          </w:p>
        </w:tc>
        <w:tc>
          <w:tcPr>
            <w:tcW w:w="2700" w:type="dxa"/>
            <w:tcBorders>
              <w:top w:val="single" w:sz="4" w:space="0" w:color="BFBFBF"/>
              <w:left w:val="single" w:sz="4" w:space="0" w:color="BFBFBF"/>
              <w:bottom w:val="single" w:sz="4" w:space="0" w:color="BFBFBF"/>
              <w:right w:val="single" w:sz="4" w:space="0" w:color="BFBFBF"/>
            </w:tcBorders>
            <w:vAlign w:val="center"/>
          </w:tcPr>
          <w:p w14:paraId="33C385E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Revisión de matriz estratégica y presupuesto indicativo con INVISBU.</w:t>
            </w:r>
          </w:p>
        </w:tc>
        <w:tc>
          <w:tcPr>
            <w:tcW w:w="2421" w:type="dxa"/>
            <w:tcBorders>
              <w:top w:val="single" w:sz="4" w:space="0" w:color="BFBFBF"/>
              <w:left w:val="single" w:sz="4" w:space="0" w:color="BFBFBF"/>
              <w:bottom w:val="single" w:sz="4" w:space="0" w:color="BFBFBF"/>
              <w:right w:val="single" w:sz="4" w:space="0" w:color="BFBFBF"/>
            </w:tcBorders>
            <w:vAlign w:val="center"/>
          </w:tcPr>
          <w:p w14:paraId="6EF57BC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Ajuste de metas, productos, indicadores, programación y componentes presupuestales preliminares.</w:t>
            </w:r>
          </w:p>
        </w:tc>
      </w:tr>
      <w:tr w:rsidR="00607E40" w14:paraId="68E84B8E" w14:textId="77777777">
        <w:trPr>
          <w:jc w:val="center"/>
        </w:trPr>
        <w:tc>
          <w:tcPr>
            <w:tcW w:w="1450" w:type="dxa"/>
            <w:tcBorders>
              <w:top w:val="single" w:sz="4" w:space="0" w:color="BFBFBF"/>
              <w:left w:val="single" w:sz="4" w:space="0" w:color="BFBFBF"/>
              <w:bottom w:val="single" w:sz="4" w:space="0" w:color="BFBFBF"/>
              <w:right w:val="single" w:sz="4" w:space="0" w:color="BFBFBF"/>
            </w:tcBorders>
            <w:vAlign w:val="center"/>
          </w:tcPr>
          <w:p w14:paraId="5615941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Mayo de 2026</w:t>
            </w:r>
          </w:p>
        </w:tc>
        <w:tc>
          <w:tcPr>
            <w:tcW w:w="1700" w:type="dxa"/>
            <w:tcBorders>
              <w:top w:val="single" w:sz="4" w:space="0" w:color="BFBFBF"/>
              <w:left w:val="single" w:sz="4" w:space="0" w:color="BFBFBF"/>
              <w:bottom w:val="single" w:sz="4" w:space="0" w:color="BFBFBF"/>
              <w:right w:val="single" w:sz="4" w:space="0" w:color="BFBFBF"/>
            </w:tcBorders>
            <w:vAlign w:val="center"/>
          </w:tcPr>
          <w:p w14:paraId="14DE0BA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Socialización sectorial y cierre parcial</w:t>
            </w:r>
          </w:p>
        </w:tc>
        <w:tc>
          <w:tcPr>
            <w:tcW w:w="2700" w:type="dxa"/>
            <w:tcBorders>
              <w:top w:val="single" w:sz="4" w:space="0" w:color="BFBFBF"/>
              <w:left w:val="single" w:sz="4" w:space="0" w:color="BFBFBF"/>
              <w:bottom w:val="single" w:sz="4" w:space="0" w:color="BFBFBF"/>
              <w:right w:val="single" w:sz="4" w:space="0" w:color="BFBFBF"/>
            </w:tcBorders>
            <w:vAlign w:val="center"/>
          </w:tcPr>
          <w:p w14:paraId="2572818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Taller con gremios privados, remisión a CAMACOL, revisión de diagnóstico y consolidación de soportes.</w:t>
            </w:r>
          </w:p>
        </w:tc>
        <w:tc>
          <w:tcPr>
            <w:tcW w:w="2421" w:type="dxa"/>
            <w:tcBorders>
              <w:top w:val="single" w:sz="4" w:space="0" w:color="BFBFBF"/>
              <w:left w:val="single" w:sz="4" w:space="0" w:color="BFBFBF"/>
              <w:bottom w:val="single" w:sz="4" w:space="0" w:color="BFBFBF"/>
              <w:right w:val="single" w:sz="4" w:space="0" w:color="BFBFBF"/>
            </w:tcBorders>
            <w:vAlign w:val="center"/>
          </w:tcPr>
          <w:p w14:paraId="34DEF84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6"/>
                <w:szCs w:val="16"/>
                <w:lang w:eastAsia="ar-SA"/>
              </w:rPr>
              <w:t>Apertura de retroalimentación técnica sectorial y avance consolidado del 75 % con corte al 30 de mayo de 2026.</w:t>
            </w:r>
          </w:p>
        </w:tc>
      </w:tr>
    </w:tbl>
    <w:p w14:paraId="32A77F85" w14:textId="77777777" w:rsidR="00607E40" w:rsidRDefault="00607E40">
      <w:pPr>
        <w:spacing w:after="80" w:line="240" w:lineRule="auto"/>
        <w:rPr>
          <w:rFonts w:ascii="Arial Narrow" w:eastAsia="Times New Roman" w:hAnsi="Arial Narrow" w:cs="Arial"/>
          <w:lang w:eastAsia="ar-SA"/>
        </w:rPr>
      </w:pPr>
    </w:p>
    <w:p w14:paraId="5ED3F199"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Aunque el proceso presenta un avance significativo, aún no se encuentra agotada la ruta institucional para la adopción formal. Las etapas pendientes son las siguientes:</w:t>
      </w:r>
    </w:p>
    <w:p w14:paraId="39CC2675" w14:textId="77777777" w:rsidR="00DC52EF" w:rsidRDefault="00DC52EF">
      <w:pPr>
        <w:spacing w:after="120" w:line="240" w:lineRule="auto"/>
        <w:jc w:val="both"/>
        <w:rPr>
          <w:rFonts w:ascii="Arial Narrow" w:eastAsia="Times New Roman" w:hAnsi="Arial Narrow" w:cs="Arial"/>
          <w:lang w:eastAsia="ar-SA"/>
        </w:rPr>
      </w:pP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2900"/>
        <w:gridCol w:w="5371"/>
      </w:tblGrid>
      <w:tr w:rsidR="00607E40" w14:paraId="0DA304D3" w14:textId="77777777">
        <w:trPr>
          <w:tblHeader/>
          <w:jc w:val="center"/>
        </w:trPr>
        <w:tc>
          <w:tcPr>
            <w:tcW w:w="29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03E86416"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Etapa pendiente</w:t>
            </w:r>
          </w:p>
        </w:tc>
        <w:tc>
          <w:tcPr>
            <w:tcW w:w="537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055449E2"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Alcance</w:t>
            </w:r>
          </w:p>
        </w:tc>
      </w:tr>
      <w:tr w:rsidR="00607E40" w14:paraId="02560C70"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41FCBC1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Cierre técnico del documento final</w:t>
            </w:r>
          </w:p>
        </w:tc>
        <w:tc>
          <w:tcPr>
            <w:tcW w:w="5371" w:type="dxa"/>
            <w:tcBorders>
              <w:top w:val="single" w:sz="4" w:space="0" w:color="BFBFBF"/>
              <w:left w:val="single" w:sz="4" w:space="0" w:color="BFBFBF"/>
              <w:bottom w:val="single" w:sz="4" w:space="0" w:color="BFBFBF"/>
              <w:right w:val="single" w:sz="4" w:space="0" w:color="BFBFBF"/>
            </w:tcBorders>
            <w:vAlign w:val="center"/>
          </w:tcPr>
          <w:p w14:paraId="17C882F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Consolidar diagnóstico, componente estratégico, financiación, seguimiento, evaluación y anexos técnicos.</w:t>
            </w:r>
          </w:p>
        </w:tc>
      </w:tr>
      <w:tr w:rsidR="00607E40" w14:paraId="3BC6AF19"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3A27E71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Validación financiera</w:t>
            </w:r>
          </w:p>
        </w:tc>
        <w:tc>
          <w:tcPr>
            <w:tcW w:w="5371" w:type="dxa"/>
            <w:tcBorders>
              <w:top w:val="single" w:sz="4" w:space="0" w:color="BFBFBF"/>
              <w:left w:val="single" w:sz="4" w:space="0" w:color="BFBFBF"/>
              <w:bottom w:val="single" w:sz="4" w:space="0" w:color="BFBFBF"/>
              <w:right w:val="single" w:sz="4" w:space="0" w:color="BFBFBF"/>
            </w:tcBorders>
            <w:vAlign w:val="center"/>
          </w:tcPr>
          <w:p w14:paraId="27D89B3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Revisar presupuesto indicativo, fuentes, programación, corresponsabilidades y viabilidad presupuestal con las dependencias competentes.</w:t>
            </w:r>
          </w:p>
        </w:tc>
      </w:tr>
      <w:tr w:rsidR="00607E40" w14:paraId="498C1C85"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5038151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Mesas técnicas con responsables y corresponsables</w:t>
            </w:r>
          </w:p>
        </w:tc>
        <w:tc>
          <w:tcPr>
            <w:tcW w:w="5371" w:type="dxa"/>
            <w:tcBorders>
              <w:top w:val="single" w:sz="4" w:space="0" w:color="BFBFBF"/>
              <w:left w:val="single" w:sz="4" w:space="0" w:color="BFBFBF"/>
              <w:bottom w:val="single" w:sz="4" w:space="0" w:color="BFBFBF"/>
              <w:right w:val="single" w:sz="4" w:space="0" w:color="BFBFBF"/>
            </w:tcBorders>
            <w:vAlign w:val="center"/>
          </w:tcPr>
          <w:p w14:paraId="128D15D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Validar acciones, metas, indicadores y responsabilidades institucionales de implementación.</w:t>
            </w:r>
          </w:p>
        </w:tc>
      </w:tr>
      <w:tr w:rsidR="00607E40" w14:paraId="66303806"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1F2EE95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Consolidación de observaciones externas</w:t>
            </w:r>
          </w:p>
        </w:tc>
        <w:tc>
          <w:tcPr>
            <w:tcW w:w="5371" w:type="dxa"/>
            <w:tcBorders>
              <w:top w:val="single" w:sz="4" w:space="0" w:color="BFBFBF"/>
              <w:left w:val="single" w:sz="4" w:space="0" w:color="BFBFBF"/>
              <w:bottom w:val="single" w:sz="4" w:space="0" w:color="BFBFBF"/>
              <w:right w:val="single" w:sz="4" w:space="0" w:color="BFBFBF"/>
            </w:tcBorders>
            <w:vAlign w:val="center"/>
          </w:tcPr>
          <w:p w14:paraId="65BB86D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Revisar y responder aportes de gremios, CAMACOL, sector privado, academia y actores convocados.</w:t>
            </w:r>
          </w:p>
        </w:tc>
      </w:tr>
      <w:tr w:rsidR="00607E40" w14:paraId="18CBBB83"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62E2232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Validación del diagnóstico</w:t>
            </w:r>
          </w:p>
        </w:tc>
        <w:tc>
          <w:tcPr>
            <w:tcW w:w="5371" w:type="dxa"/>
            <w:tcBorders>
              <w:top w:val="single" w:sz="4" w:space="0" w:color="BFBFBF"/>
              <w:left w:val="single" w:sz="4" w:space="0" w:color="BFBFBF"/>
              <w:bottom w:val="single" w:sz="4" w:space="0" w:color="BFBFBF"/>
              <w:right w:val="single" w:sz="4" w:space="0" w:color="BFBFBF"/>
            </w:tcBorders>
            <w:vAlign w:val="center"/>
          </w:tcPr>
          <w:p w14:paraId="186C963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Taller de validación del diagnóstico con la comunidad y gremios privados y públicos.</w:t>
            </w:r>
          </w:p>
        </w:tc>
      </w:tr>
      <w:tr w:rsidR="00607E40" w14:paraId="2E3ACEB2"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5AE549E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Revisión jurídica final</w:t>
            </w:r>
          </w:p>
        </w:tc>
        <w:tc>
          <w:tcPr>
            <w:tcW w:w="5371" w:type="dxa"/>
            <w:tcBorders>
              <w:top w:val="single" w:sz="4" w:space="0" w:color="BFBFBF"/>
              <w:left w:val="single" w:sz="4" w:space="0" w:color="BFBFBF"/>
              <w:bottom w:val="single" w:sz="4" w:space="0" w:color="BFBFBF"/>
              <w:right w:val="single" w:sz="4" w:space="0" w:color="BFBFBF"/>
            </w:tcBorders>
            <w:vAlign w:val="center"/>
          </w:tcPr>
          <w:p w14:paraId="295147C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Depurar exposición de motivos, articulado, competencias, seguimiento y estructura del proyecto de acuerdo.</w:t>
            </w:r>
          </w:p>
        </w:tc>
      </w:tr>
      <w:tr w:rsidR="00607E40" w14:paraId="054ED773"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211847C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Revisión y aprobación del Acuerdo</w:t>
            </w:r>
          </w:p>
        </w:tc>
        <w:tc>
          <w:tcPr>
            <w:tcW w:w="5371" w:type="dxa"/>
            <w:tcBorders>
              <w:top w:val="single" w:sz="4" w:space="0" w:color="BFBFBF"/>
              <w:left w:val="single" w:sz="4" w:space="0" w:color="BFBFBF"/>
              <w:bottom w:val="single" w:sz="4" w:space="0" w:color="BFBFBF"/>
              <w:right w:val="single" w:sz="4" w:space="0" w:color="BFBFBF"/>
            </w:tcBorders>
            <w:vAlign w:val="center"/>
          </w:tcPr>
          <w:p w14:paraId="3B85565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Revisión y validación del Acuerdo por la Secretaría de Planeación e INVISBU.</w:t>
            </w:r>
          </w:p>
        </w:tc>
      </w:tr>
      <w:tr w:rsidR="00607E40" w14:paraId="2EDFEF59"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3CAC09F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Presentación ante COMPOS o instancia correspondiente</w:t>
            </w:r>
          </w:p>
        </w:tc>
        <w:tc>
          <w:tcPr>
            <w:tcW w:w="5371" w:type="dxa"/>
            <w:tcBorders>
              <w:top w:val="single" w:sz="4" w:space="0" w:color="BFBFBF"/>
              <w:left w:val="single" w:sz="4" w:space="0" w:color="BFBFBF"/>
              <w:bottom w:val="single" w:sz="4" w:space="0" w:color="BFBFBF"/>
              <w:right w:val="single" w:sz="4" w:space="0" w:color="BFBFBF"/>
            </w:tcBorders>
            <w:vAlign w:val="center"/>
          </w:tcPr>
          <w:p w14:paraId="2F06B1C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Surtir la validación institucional previa al trámite de adopción.</w:t>
            </w:r>
          </w:p>
        </w:tc>
      </w:tr>
      <w:tr w:rsidR="00607E40" w14:paraId="37BE238E"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5FEDF60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Radicación ante el Concejo Municipal</w:t>
            </w:r>
          </w:p>
        </w:tc>
        <w:tc>
          <w:tcPr>
            <w:tcW w:w="5371" w:type="dxa"/>
            <w:tcBorders>
              <w:top w:val="single" w:sz="4" w:space="0" w:color="BFBFBF"/>
              <w:left w:val="single" w:sz="4" w:space="0" w:color="BFBFBF"/>
              <w:bottom w:val="single" w:sz="4" w:space="0" w:color="BFBFBF"/>
              <w:right w:val="single" w:sz="4" w:space="0" w:color="BFBFBF"/>
            </w:tcBorders>
            <w:vAlign w:val="center"/>
          </w:tcPr>
          <w:p w14:paraId="4705774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Presentar el proyecto de acuerdo una vez se cuente con cierre técnico, financiero y jurídico.</w:t>
            </w:r>
          </w:p>
        </w:tc>
      </w:tr>
      <w:tr w:rsidR="00607E40" w14:paraId="4D09781D" w14:textId="77777777">
        <w:trPr>
          <w:jc w:val="center"/>
        </w:trPr>
        <w:tc>
          <w:tcPr>
            <w:tcW w:w="2900" w:type="dxa"/>
            <w:tcBorders>
              <w:top w:val="single" w:sz="4" w:space="0" w:color="BFBFBF"/>
              <w:left w:val="single" w:sz="4" w:space="0" w:color="BFBFBF"/>
              <w:bottom w:val="single" w:sz="4" w:space="0" w:color="BFBFBF"/>
              <w:right w:val="single" w:sz="4" w:space="0" w:color="BFBFBF"/>
            </w:tcBorders>
            <w:vAlign w:val="center"/>
          </w:tcPr>
          <w:p w14:paraId="1466D7F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Adopción formal</w:t>
            </w:r>
          </w:p>
        </w:tc>
        <w:tc>
          <w:tcPr>
            <w:tcW w:w="5371" w:type="dxa"/>
            <w:tcBorders>
              <w:top w:val="single" w:sz="4" w:space="0" w:color="BFBFBF"/>
              <w:left w:val="single" w:sz="4" w:space="0" w:color="BFBFBF"/>
              <w:bottom w:val="single" w:sz="4" w:space="0" w:color="BFBFBF"/>
              <w:right w:val="single" w:sz="4" w:space="0" w:color="BFBFBF"/>
            </w:tcBorders>
            <w:vAlign w:val="center"/>
          </w:tcPr>
          <w:p w14:paraId="4878600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8"/>
                <w:szCs w:val="18"/>
                <w:lang w:eastAsia="ar-SA"/>
              </w:rPr>
              <w:t>Adoptar la política mediante el instrumento correspondiente, si se surte favorablemente el trámite institucional y corporativo.</w:t>
            </w:r>
          </w:p>
        </w:tc>
      </w:tr>
    </w:tbl>
    <w:p w14:paraId="7F51BC82" w14:textId="77777777" w:rsidR="00607E40" w:rsidRDefault="00607E40">
      <w:pPr>
        <w:spacing w:after="80" w:line="240" w:lineRule="auto"/>
        <w:rPr>
          <w:rFonts w:ascii="Arial Narrow" w:eastAsia="Times New Roman" w:hAnsi="Arial Narrow" w:cs="Arial"/>
          <w:lang w:eastAsia="ar-SA"/>
        </w:rPr>
      </w:pPr>
    </w:p>
    <w:p w14:paraId="7DB9CE78" w14:textId="77777777"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En conclusión, la política se encuentra en fase avanzada de formulación, pero no ha sido adoptada formalmente. Por tanto, los documentos remitidos y disponibles deben entenderse como insumos </w:t>
      </w:r>
      <w:r>
        <w:rPr>
          <w:rFonts w:ascii="Arial Narrow" w:eastAsia="Times New Roman" w:hAnsi="Arial Narrow" w:cs="Arial"/>
          <w:lang w:eastAsia="ar-SA"/>
        </w:rPr>
        <w:lastRenderedPageBreak/>
        <w:t>técnicos y preliminares, sujetos a ajustes, validaciones y revisión institucional, financiera y jurídica, hasta tanto se agote la ruta prevista para su adopción ante las instancias competentes.</w:t>
      </w:r>
    </w:p>
    <w:p w14:paraId="6C8B802E" w14:textId="77777777" w:rsidR="00DC52EF" w:rsidRDefault="00DC52EF" w:rsidP="00DC52EF">
      <w:pPr>
        <w:spacing w:after="0" w:line="240" w:lineRule="auto"/>
        <w:jc w:val="both"/>
        <w:rPr>
          <w:rFonts w:ascii="Arial Narrow" w:eastAsia="Times New Roman" w:hAnsi="Arial Narrow" w:cs="Arial"/>
          <w:lang w:eastAsia="ar-SA"/>
        </w:rPr>
      </w:pPr>
    </w:p>
    <w:p w14:paraId="5C32CC8D" w14:textId="77777777" w:rsidR="00607E40" w:rsidRDefault="00000000" w:rsidP="00DC52EF">
      <w:pPr>
        <w:spacing w:after="0" w:line="240" w:lineRule="auto"/>
        <w:jc w:val="both"/>
        <w:rPr>
          <w:rFonts w:ascii="Arial Narrow" w:eastAsia="Times New Roman" w:hAnsi="Arial Narrow" w:cs="Arial"/>
          <w:b/>
          <w:lang w:eastAsia="ar-SA"/>
        </w:rPr>
      </w:pPr>
      <w:r>
        <w:rPr>
          <w:rFonts w:ascii="Arial Narrow" w:eastAsia="Times New Roman" w:hAnsi="Arial Narrow" w:cs="Arial"/>
          <w:b/>
          <w:lang w:eastAsia="ar-SA"/>
        </w:rPr>
        <w:t>4. Frente a la solicitud de indicar si los documentos técnicos elaborados hasta la fecha han sido socializados con actores externos al INVISBU y, en caso afirmativo, remitir relación de dichas socializaciones:</w:t>
      </w:r>
    </w:p>
    <w:p w14:paraId="187210F9" w14:textId="77777777" w:rsidR="00DC52EF" w:rsidRDefault="00DC52EF" w:rsidP="00DC52EF">
      <w:pPr>
        <w:spacing w:after="0" w:line="240" w:lineRule="auto"/>
        <w:jc w:val="both"/>
        <w:rPr>
          <w:rFonts w:ascii="Arial Narrow" w:eastAsia="Times New Roman" w:hAnsi="Arial Narrow" w:cs="Arial"/>
          <w:lang w:eastAsia="ar-SA"/>
        </w:rPr>
      </w:pPr>
    </w:p>
    <w:p w14:paraId="23DE19E9" w14:textId="77777777"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Se precisa que los documentos técnicos, insumos metodológicos y avances de formulación han sido socializados de manera progresiva con actores externos al INVISBU, conforme al momento metodológico correspondiente y al estado actual del proceso. La formulación de una política pública constituye un ejercicio de gobernanza territorial, participación y corresponsabilidad institucional; por ello, sus documentos no se consolidan de manera unilateral, sino a partir de una ruta técnica y participativa en la que intervienen la Secretaría de Planeación, el INVISBU, la academia, entidades públicas, gremios, sector privado y ciudadanía.</w:t>
      </w:r>
    </w:p>
    <w:p w14:paraId="2565B4C0" w14:textId="77777777" w:rsidR="00DC52EF" w:rsidRDefault="00DC52EF" w:rsidP="00DC52EF">
      <w:pPr>
        <w:spacing w:after="0" w:line="240" w:lineRule="auto"/>
        <w:jc w:val="both"/>
        <w:rPr>
          <w:rFonts w:ascii="Arial Narrow" w:eastAsia="Times New Roman" w:hAnsi="Arial Narrow" w:cs="Arial"/>
          <w:lang w:eastAsia="ar-SA"/>
        </w:rPr>
      </w:pPr>
    </w:p>
    <w:p w14:paraId="1A94CD93" w14:textId="77777777"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Dentro de la trazabilidad de socialización con actores externos, se destaca el Taller de Validación de Escenarios del 29 de agosto de 2025, precedido de convocatoria pública e invitación directa por correo electrónico, en el que participaron la Secretaría de Desarrollo Social, la UMGRD, la delegada de tierras de la Superintendencia de Notariado y Registro, el Área Metropolitana de Bucaramanga, la Secretaría del Interior, la Defensoría del Pueblo, la Universidad Santo Tomás, medios de comunicación, representantes del sector privado y CAMACOL. Igualmente, el componente estratégico preliminar fue puesto en conocimiento de actores externos en el espacio de socialización con gremios privados del 13 de mayo de 2026 y mediante la remisión formal del Plan Estratégico Indicativo a CAMACOL Santander el 29 de mayo de 2026, para habilitar la revisión técnica del sector constructor.</w:t>
      </w:r>
    </w:p>
    <w:p w14:paraId="72CB8CF3" w14:textId="77777777" w:rsidR="00DC52EF" w:rsidRDefault="00DC52EF" w:rsidP="00DC52EF">
      <w:pPr>
        <w:spacing w:after="0" w:line="240" w:lineRule="auto"/>
        <w:jc w:val="both"/>
        <w:rPr>
          <w:rFonts w:ascii="Arial Narrow" w:eastAsia="Times New Roman" w:hAnsi="Arial Narrow" w:cs="Arial"/>
          <w:lang w:eastAsia="ar-SA"/>
        </w:rPr>
      </w:pPr>
    </w:p>
    <w:p w14:paraId="599F3048"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 xml:space="preserve">A </w:t>
      </w:r>
      <w:proofErr w:type="gramStart"/>
      <w:r>
        <w:rPr>
          <w:rFonts w:ascii="Arial Narrow" w:eastAsia="Times New Roman" w:hAnsi="Arial Narrow" w:cs="Arial"/>
          <w:lang w:eastAsia="ar-SA"/>
        </w:rPr>
        <w:t>continuación</w:t>
      </w:r>
      <w:proofErr w:type="gramEnd"/>
      <w:r>
        <w:rPr>
          <w:rFonts w:ascii="Arial Narrow" w:eastAsia="Times New Roman" w:hAnsi="Arial Narrow" w:cs="Arial"/>
          <w:lang w:eastAsia="ar-SA"/>
        </w:rPr>
        <w:t xml:space="preserve"> se relaciona la matriz de actores vinculados al proceso, indicando naturaleza, importancia y nivel de influencia:</w:t>
      </w:r>
    </w:p>
    <w:p w14:paraId="298C4171" w14:textId="77777777" w:rsidR="00DC52EF" w:rsidRDefault="00DC52EF">
      <w:pPr>
        <w:spacing w:after="120" w:line="240" w:lineRule="auto"/>
        <w:jc w:val="both"/>
        <w:rPr>
          <w:rFonts w:ascii="Arial Narrow" w:eastAsia="Times New Roman" w:hAnsi="Arial Narrow" w:cs="Arial"/>
          <w:lang w:eastAsia="ar-SA"/>
        </w:rPr>
      </w:pP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2150"/>
        <w:gridCol w:w="1750"/>
        <w:gridCol w:w="3271"/>
        <w:gridCol w:w="1100"/>
      </w:tblGrid>
      <w:tr w:rsidR="00607E40" w14:paraId="1099ACCD" w14:textId="77777777">
        <w:trPr>
          <w:tblHeader/>
          <w:jc w:val="center"/>
        </w:trPr>
        <w:tc>
          <w:tcPr>
            <w:tcW w:w="21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4B0C169E"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Actor / entidad</w:t>
            </w:r>
          </w:p>
        </w:tc>
        <w:tc>
          <w:tcPr>
            <w:tcW w:w="17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29CC8AC9"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Naturaleza</w:t>
            </w:r>
          </w:p>
        </w:tc>
        <w:tc>
          <w:tcPr>
            <w:tcW w:w="327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26F4FD44"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Importancia dentro del proceso</w:t>
            </w:r>
          </w:p>
        </w:tc>
        <w:tc>
          <w:tcPr>
            <w:tcW w:w="11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1FA4CEAE"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Nivel</w:t>
            </w:r>
          </w:p>
        </w:tc>
      </w:tr>
      <w:tr w:rsidR="00607E40" w14:paraId="082574D5"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7286E1C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Secretaría de Planeación Municipal</w:t>
            </w:r>
          </w:p>
        </w:tc>
        <w:tc>
          <w:tcPr>
            <w:tcW w:w="1750" w:type="dxa"/>
            <w:tcBorders>
              <w:top w:val="single" w:sz="4" w:space="0" w:color="BFBFBF"/>
              <w:left w:val="single" w:sz="4" w:space="0" w:color="BFBFBF"/>
              <w:bottom w:val="single" w:sz="4" w:space="0" w:color="BFBFBF"/>
              <w:right w:val="single" w:sz="4" w:space="0" w:color="BFBFBF"/>
            </w:tcBorders>
            <w:vAlign w:val="center"/>
          </w:tcPr>
          <w:p w14:paraId="3B91718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pública municipal</w:t>
            </w:r>
          </w:p>
        </w:tc>
        <w:tc>
          <w:tcPr>
            <w:tcW w:w="3271" w:type="dxa"/>
            <w:tcBorders>
              <w:top w:val="single" w:sz="4" w:space="0" w:color="BFBFBF"/>
              <w:left w:val="single" w:sz="4" w:space="0" w:color="BFBFBF"/>
              <w:bottom w:val="single" w:sz="4" w:space="0" w:color="BFBFBF"/>
              <w:right w:val="single" w:sz="4" w:space="0" w:color="BFBFBF"/>
            </w:tcBorders>
            <w:vAlign w:val="center"/>
          </w:tcPr>
          <w:p w14:paraId="55BE26A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Coordina metodológicamente el proceso, orienta la ruta, consolida insumos, articula actores y realiza seguimiento.</w:t>
            </w:r>
          </w:p>
        </w:tc>
        <w:tc>
          <w:tcPr>
            <w:tcW w:w="1100" w:type="dxa"/>
            <w:tcBorders>
              <w:top w:val="single" w:sz="4" w:space="0" w:color="BFBFBF"/>
              <w:left w:val="single" w:sz="4" w:space="0" w:color="BFBFBF"/>
              <w:bottom w:val="single" w:sz="4" w:space="0" w:color="BFBFBF"/>
              <w:right w:val="single" w:sz="4" w:space="0" w:color="BFBFBF"/>
            </w:tcBorders>
            <w:vAlign w:val="center"/>
          </w:tcPr>
          <w:p w14:paraId="7ADCEAB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46A036B7"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FFFB6B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INVISBU</w:t>
            </w:r>
          </w:p>
        </w:tc>
        <w:tc>
          <w:tcPr>
            <w:tcW w:w="1750" w:type="dxa"/>
            <w:tcBorders>
              <w:top w:val="single" w:sz="4" w:space="0" w:color="BFBFBF"/>
              <w:left w:val="single" w:sz="4" w:space="0" w:color="BFBFBF"/>
              <w:bottom w:val="single" w:sz="4" w:space="0" w:color="BFBFBF"/>
              <w:right w:val="single" w:sz="4" w:space="0" w:color="BFBFBF"/>
            </w:tcBorders>
            <w:vAlign w:val="center"/>
          </w:tcPr>
          <w:p w14:paraId="3011722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pública descentralizada / sector vivienda</w:t>
            </w:r>
          </w:p>
        </w:tc>
        <w:tc>
          <w:tcPr>
            <w:tcW w:w="3271" w:type="dxa"/>
            <w:tcBorders>
              <w:top w:val="single" w:sz="4" w:space="0" w:color="BFBFBF"/>
              <w:left w:val="single" w:sz="4" w:space="0" w:color="BFBFBF"/>
              <w:bottom w:val="single" w:sz="4" w:space="0" w:color="BFBFBF"/>
              <w:right w:val="single" w:sz="4" w:space="0" w:color="BFBFBF"/>
            </w:tcBorders>
            <w:vAlign w:val="center"/>
          </w:tcPr>
          <w:p w14:paraId="2856378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conocimiento misional y sectorial en vivienda, hábitat y programas habitacionales; revisa diagnóstico, matriz estratégica y presupuesto indicativo.</w:t>
            </w:r>
          </w:p>
        </w:tc>
        <w:tc>
          <w:tcPr>
            <w:tcW w:w="1100" w:type="dxa"/>
            <w:tcBorders>
              <w:top w:val="single" w:sz="4" w:space="0" w:color="BFBFBF"/>
              <w:left w:val="single" w:sz="4" w:space="0" w:color="BFBFBF"/>
              <w:bottom w:val="single" w:sz="4" w:space="0" w:color="BFBFBF"/>
              <w:right w:val="single" w:sz="4" w:space="0" w:color="BFBFBF"/>
            </w:tcBorders>
            <w:vAlign w:val="center"/>
          </w:tcPr>
          <w:p w14:paraId="0E9D610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3F49DC56"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0B5FD6E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Universidad Pontificia Bolivariana - UPB</w:t>
            </w:r>
          </w:p>
        </w:tc>
        <w:tc>
          <w:tcPr>
            <w:tcW w:w="1750" w:type="dxa"/>
            <w:tcBorders>
              <w:top w:val="single" w:sz="4" w:space="0" w:color="BFBFBF"/>
              <w:left w:val="single" w:sz="4" w:space="0" w:color="BFBFBF"/>
              <w:bottom w:val="single" w:sz="4" w:space="0" w:color="BFBFBF"/>
              <w:right w:val="single" w:sz="4" w:space="0" w:color="BFBFBF"/>
            </w:tcBorders>
            <w:vAlign w:val="center"/>
          </w:tcPr>
          <w:p w14:paraId="76C4669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Academia</w:t>
            </w:r>
          </w:p>
        </w:tc>
        <w:tc>
          <w:tcPr>
            <w:tcW w:w="3271" w:type="dxa"/>
            <w:tcBorders>
              <w:top w:val="single" w:sz="4" w:space="0" w:color="BFBFBF"/>
              <w:left w:val="single" w:sz="4" w:space="0" w:color="BFBFBF"/>
              <w:bottom w:val="single" w:sz="4" w:space="0" w:color="BFBFBF"/>
              <w:right w:val="single" w:sz="4" w:space="0" w:color="BFBFBF"/>
            </w:tcBorders>
            <w:vAlign w:val="center"/>
          </w:tcPr>
          <w:p w14:paraId="67A150D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Brinda acompañamiento académico y técnico al proceso, en virtud del convenio suscrito con el Municipio.</w:t>
            </w:r>
          </w:p>
        </w:tc>
        <w:tc>
          <w:tcPr>
            <w:tcW w:w="1100" w:type="dxa"/>
            <w:tcBorders>
              <w:top w:val="single" w:sz="4" w:space="0" w:color="BFBFBF"/>
              <w:left w:val="single" w:sz="4" w:space="0" w:color="BFBFBF"/>
              <w:bottom w:val="single" w:sz="4" w:space="0" w:color="BFBFBF"/>
              <w:right w:val="single" w:sz="4" w:space="0" w:color="BFBFBF"/>
            </w:tcBorders>
            <w:vAlign w:val="center"/>
          </w:tcPr>
          <w:p w14:paraId="32A6AD0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5E0107EC"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0F96987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Facultad de Derecho y Ciencias Políticas - UPB</w:t>
            </w:r>
          </w:p>
        </w:tc>
        <w:tc>
          <w:tcPr>
            <w:tcW w:w="1750" w:type="dxa"/>
            <w:tcBorders>
              <w:top w:val="single" w:sz="4" w:space="0" w:color="BFBFBF"/>
              <w:left w:val="single" w:sz="4" w:space="0" w:color="BFBFBF"/>
              <w:bottom w:val="single" w:sz="4" w:space="0" w:color="BFBFBF"/>
              <w:right w:val="single" w:sz="4" w:space="0" w:color="BFBFBF"/>
            </w:tcBorders>
            <w:vAlign w:val="center"/>
          </w:tcPr>
          <w:p w14:paraId="1F63390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Academia</w:t>
            </w:r>
          </w:p>
        </w:tc>
        <w:tc>
          <w:tcPr>
            <w:tcW w:w="3271" w:type="dxa"/>
            <w:tcBorders>
              <w:top w:val="single" w:sz="4" w:space="0" w:color="BFBFBF"/>
              <w:left w:val="single" w:sz="4" w:space="0" w:color="BFBFBF"/>
              <w:bottom w:val="single" w:sz="4" w:space="0" w:color="BFBFBF"/>
              <w:right w:val="single" w:sz="4" w:space="0" w:color="BFBFBF"/>
            </w:tcBorders>
            <w:vAlign w:val="center"/>
          </w:tcPr>
          <w:p w14:paraId="3C8EFBA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Acompaña la construcción metodológica, jurídica, participativa y estratégica.</w:t>
            </w:r>
          </w:p>
        </w:tc>
        <w:tc>
          <w:tcPr>
            <w:tcW w:w="1100" w:type="dxa"/>
            <w:tcBorders>
              <w:top w:val="single" w:sz="4" w:space="0" w:color="BFBFBF"/>
              <w:left w:val="single" w:sz="4" w:space="0" w:color="BFBFBF"/>
              <w:bottom w:val="single" w:sz="4" w:space="0" w:color="BFBFBF"/>
              <w:right w:val="single" w:sz="4" w:space="0" w:color="BFBFBF"/>
            </w:tcBorders>
            <w:vAlign w:val="center"/>
          </w:tcPr>
          <w:p w14:paraId="545863F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6724CA34"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6899E43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Observatorio de Políticas Públicas - UPB</w:t>
            </w:r>
          </w:p>
        </w:tc>
        <w:tc>
          <w:tcPr>
            <w:tcW w:w="1750" w:type="dxa"/>
            <w:tcBorders>
              <w:top w:val="single" w:sz="4" w:space="0" w:color="BFBFBF"/>
              <w:left w:val="single" w:sz="4" w:space="0" w:color="BFBFBF"/>
              <w:bottom w:val="single" w:sz="4" w:space="0" w:color="BFBFBF"/>
              <w:right w:val="single" w:sz="4" w:space="0" w:color="BFBFBF"/>
            </w:tcBorders>
            <w:vAlign w:val="center"/>
          </w:tcPr>
          <w:p w14:paraId="72D4F90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Academia / soporte metodológico</w:t>
            </w:r>
          </w:p>
        </w:tc>
        <w:tc>
          <w:tcPr>
            <w:tcW w:w="3271" w:type="dxa"/>
            <w:tcBorders>
              <w:top w:val="single" w:sz="4" w:space="0" w:color="BFBFBF"/>
              <w:left w:val="single" w:sz="4" w:space="0" w:color="BFBFBF"/>
              <w:bottom w:val="single" w:sz="4" w:space="0" w:color="BFBFBF"/>
              <w:right w:val="single" w:sz="4" w:space="0" w:color="BFBFBF"/>
            </w:tcBorders>
            <w:vAlign w:val="center"/>
          </w:tcPr>
          <w:p w14:paraId="6F61923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Apoya la estructuración metodológica, la sistematización de insumos y la revisión de instrumentos.</w:t>
            </w:r>
          </w:p>
        </w:tc>
        <w:tc>
          <w:tcPr>
            <w:tcW w:w="1100" w:type="dxa"/>
            <w:tcBorders>
              <w:top w:val="single" w:sz="4" w:space="0" w:color="BFBFBF"/>
              <w:left w:val="single" w:sz="4" w:space="0" w:color="BFBFBF"/>
              <w:bottom w:val="single" w:sz="4" w:space="0" w:color="BFBFBF"/>
              <w:right w:val="single" w:sz="4" w:space="0" w:color="BFBFBF"/>
            </w:tcBorders>
            <w:vAlign w:val="center"/>
          </w:tcPr>
          <w:p w14:paraId="0D328BA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355C0334"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096E17B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CIS JURIS - UPB</w:t>
            </w:r>
          </w:p>
        </w:tc>
        <w:tc>
          <w:tcPr>
            <w:tcW w:w="1750" w:type="dxa"/>
            <w:tcBorders>
              <w:top w:val="single" w:sz="4" w:space="0" w:color="BFBFBF"/>
              <w:left w:val="single" w:sz="4" w:space="0" w:color="BFBFBF"/>
              <w:bottom w:val="single" w:sz="4" w:space="0" w:color="BFBFBF"/>
              <w:right w:val="single" w:sz="4" w:space="0" w:color="BFBFBF"/>
            </w:tcBorders>
            <w:vAlign w:val="center"/>
          </w:tcPr>
          <w:p w14:paraId="5F91883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Grupo de investigación / academia</w:t>
            </w:r>
          </w:p>
        </w:tc>
        <w:tc>
          <w:tcPr>
            <w:tcW w:w="3271" w:type="dxa"/>
            <w:tcBorders>
              <w:top w:val="single" w:sz="4" w:space="0" w:color="BFBFBF"/>
              <w:left w:val="single" w:sz="4" w:space="0" w:color="BFBFBF"/>
              <w:bottom w:val="single" w:sz="4" w:space="0" w:color="BFBFBF"/>
              <w:right w:val="single" w:sz="4" w:space="0" w:color="BFBFBF"/>
            </w:tcBorders>
            <w:vAlign w:val="center"/>
          </w:tcPr>
          <w:p w14:paraId="6D24C9E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soporte investigativo, jurídico y técnico para la consolidación de documentos orientadores.</w:t>
            </w:r>
          </w:p>
        </w:tc>
        <w:tc>
          <w:tcPr>
            <w:tcW w:w="1100" w:type="dxa"/>
            <w:tcBorders>
              <w:top w:val="single" w:sz="4" w:space="0" w:color="BFBFBF"/>
              <w:left w:val="single" w:sz="4" w:space="0" w:color="BFBFBF"/>
              <w:bottom w:val="single" w:sz="4" w:space="0" w:color="BFBFBF"/>
              <w:right w:val="single" w:sz="4" w:space="0" w:color="BFBFBF"/>
            </w:tcBorders>
            <w:vAlign w:val="center"/>
          </w:tcPr>
          <w:p w14:paraId="3761934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2A6C38E3"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25F3B7C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Área Metropolitana de Bucaramanga - AMB</w:t>
            </w:r>
          </w:p>
        </w:tc>
        <w:tc>
          <w:tcPr>
            <w:tcW w:w="1750" w:type="dxa"/>
            <w:tcBorders>
              <w:top w:val="single" w:sz="4" w:space="0" w:color="BFBFBF"/>
              <w:left w:val="single" w:sz="4" w:space="0" w:color="BFBFBF"/>
              <w:bottom w:val="single" w:sz="4" w:space="0" w:color="BFBFBF"/>
              <w:right w:val="single" w:sz="4" w:space="0" w:color="BFBFBF"/>
            </w:tcBorders>
            <w:vAlign w:val="center"/>
          </w:tcPr>
          <w:p w14:paraId="11DD6D7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Autoridad metropolitana / actor técnico</w:t>
            </w:r>
          </w:p>
        </w:tc>
        <w:tc>
          <w:tcPr>
            <w:tcW w:w="3271" w:type="dxa"/>
            <w:tcBorders>
              <w:top w:val="single" w:sz="4" w:space="0" w:color="BFBFBF"/>
              <w:left w:val="single" w:sz="4" w:space="0" w:color="BFBFBF"/>
              <w:bottom w:val="single" w:sz="4" w:space="0" w:color="BFBFBF"/>
              <w:right w:val="single" w:sz="4" w:space="0" w:color="BFBFBF"/>
            </w:tcBorders>
            <w:vAlign w:val="center"/>
          </w:tcPr>
          <w:p w14:paraId="76BD157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información territorial, metropolitana, predial y de soporte urbano para el diagnóstico y la formulación.</w:t>
            </w:r>
          </w:p>
        </w:tc>
        <w:tc>
          <w:tcPr>
            <w:tcW w:w="1100" w:type="dxa"/>
            <w:tcBorders>
              <w:top w:val="single" w:sz="4" w:space="0" w:color="BFBFBF"/>
              <w:left w:val="single" w:sz="4" w:space="0" w:color="BFBFBF"/>
              <w:bottom w:val="single" w:sz="4" w:space="0" w:color="BFBFBF"/>
              <w:right w:val="single" w:sz="4" w:space="0" w:color="BFBFBF"/>
            </w:tcBorders>
            <w:vAlign w:val="center"/>
          </w:tcPr>
          <w:p w14:paraId="4EEE638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49C5F4C5"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4CF1AF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CAMACOL Santander</w:t>
            </w:r>
          </w:p>
        </w:tc>
        <w:tc>
          <w:tcPr>
            <w:tcW w:w="1750" w:type="dxa"/>
            <w:tcBorders>
              <w:top w:val="single" w:sz="4" w:space="0" w:color="BFBFBF"/>
              <w:left w:val="single" w:sz="4" w:space="0" w:color="BFBFBF"/>
              <w:bottom w:val="single" w:sz="4" w:space="0" w:color="BFBFBF"/>
              <w:right w:val="single" w:sz="4" w:space="0" w:color="BFBFBF"/>
            </w:tcBorders>
            <w:vAlign w:val="center"/>
          </w:tcPr>
          <w:p w14:paraId="6849EF3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Gremio privado / sector constructor</w:t>
            </w:r>
          </w:p>
        </w:tc>
        <w:tc>
          <w:tcPr>
            <w:tcW w:w="3271" w:type="dxa"/>
            <w:tcBorders>
              <w:top w:val="single" w:sz="4" w:space="0" w:color="BFBFBF"/>
              <w:left w:val="single" w:sz="4" w:space="0" w:color="BFBFBF"/>
              <w:bottom w:val="single" w:sz="4" w:space="0" w:color="BFBFBF"/>
              <w:right w:val="single" w:sz="4" w:space="0" w:color="BFBFBF"/>
            </w:tcBorders>
            <w:vAlign w:val="center"/>
          </w:tcPr>
          <w:p w14:paraId="776ACC0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Actor estratégico del sector constructor; recibió el Plan Estratégico Indicativo para revisión técnica y observaciones.</w:t>
            </w:r>
          </w:p>
        </w:tc>
        <w:tc>
          <w:tcPr>
            <w:tcW w:w="1100" w:type="dxa"/>
            <w:tcBorders>
              <w:top w:val="single" w:sz="4" w:space="0" w:color="BFBFBF"/>
              <w:left w:val="single" w:sz="4" w:space="0" w:color="BFBFBF"/>
              <w:bottom w:val="single" w:sz="4" w:space="0" w:color="BFBFBF"/>
              <w:right w:val="single" w:sz="4" w:space="0" w:color="BFBFBF"/>
            </w:tcBorders>
            <w:vAlign w:val="center"/>
          </w:tcPr>
          <w:p w14:paraId="5721E11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7567E224"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4A4BFE3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Sociedad Colombiana de Arquitectos - Regional Santander</w:t>
            </w:r>
          </w:p>
        </w:tc>
        <w:tc>
          <w:tcPr>
            <w:tcW w:w="1750" w:type="dxa"/>
            <w:tcBorders>
              <w:top w:val="single" w:sz="4" w:space="0" w:color="BFBFBF"/>
              <w:left w:val="single" w:sz="4" w:space="0" w:color="BFBFBF"/>
              <w:bottom w:val="single" w:sz="4" w:space="0" w:color="BFBFBF"/>
              <w:right w:val="single" w:sz="4" w:space="0" w:color="BFBFBF"/>
            </w:tcBorders>
            <w:vAlign w:val="center"/>
          </w:tcPr>
          <w:p w14:paraId="6065276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Gremio técnico-profesional</w:t>
            </w:r>
          </w:p>
        </w:tc>
        <w:tc>
          <w:tcPr>
            <w:tcW w:w="3271" w:type="dxa"/>
            <w:tcBorders>
              <w:top w:val="single" w:sz="4" w:space="0" w:color="BFBFBF"/>
              <w:left w:val="single" w:sz="4" w:space="0" w:color="BFBFBF"/>
              <w:bottom w:val="single" w:sz="4" w:space="0" w:color="BFBFBF"/>
              <w:right w:val="single" w:sz="4" w:space="0" w:color="BFBFBF"/>
            </w:tcBorders>
            <w:vAlign w:val="center"/>
          </w:tcPr>
          <w:p w14:paraId="23A4771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lectura técnica desde la arquitectura, el desarrollo urbano y la planeación urbana.</w:t>
            </w:r>
          </w:p>
        </w:tc>
        <w:tc>
          <w:tcPr>
            <w:tcW w:w="1100" w:type="dxa"/>
            <w:tcBorders>
              <w:top w:val="single" w:sz="4" w:space="0" w:color="BFBFBF"/>
              <w:left w:val="single" w:sz="4" w:space="0" w:color="BFBFBF"/>
              <w:bottom w:val="single" w:sz="4" w:space="0" w:color="BFBFBF"/>
              <w:right w:val="single" w:sz="4" w:space="0" w:color="BFBFBF"/>
            </w:tcBorders>
            <w:vAlign w:val="center"/>
          </w:tcPr>
          <w:p w14:paraId="7778EEA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5909A098"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2D5B73E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Secretaría de Desarrollo Social</w:t>
            </w:r>
          </w:p>
        </w:tc>
        <w:tc>
          <w:tcPr>
            <w:tcW w:w="1750" w:type="dxa"/>
            <w:tcBorders>
              <w:top w:val="single" w:sz="4" w:space="0" w:color="BFBFBF"/>
              <w:left w:val="single" w:sz="4" w:space="0" w:color="BFBFBF"/>
              <w:bottom w:val="single" w:sz="4" w:space="0" w:color="BFBFBF"/>
              <w:right w:val="single" w:sz="4" w:space="0" w:color="BFBFBF"/>
            </w:tcBorders>
            <w:vAlign w:val="center"/>
          </w:tcPr>
          <w:p w14:paraId="2879D29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pública municipal</w:t>
            </w:r>
          </w:p>
        </w:tc>
        <w:tc>
          <w:tcPr>
            <w:tcW w:w="3271" w:type="dxa"/>
            <w:tcBorders>
              <w:top w:val="single" w:sz="4" w:space="0" w:color="BFBFBF"/>
              <w:left w:val="single" w:sz="4" w:space="0" w:color="BFBFBF"/>
              <w:bottom w:val="single" w:sz="4" w:space="0" w:color="BFBFBF"/>
              <w:right w:val="single" w:sz="4" w:space="0" w:color="BFBFBF"/>
            </w:tcBorders>
            <w:vAlign w:val="center"/>
          </w:tcPr>
          <w:p w14:paraId="648FA4E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lectura social y poblacional sobre vulnerabilidad, acceso a derechos y necesidades habitacionales.</w:t>
            </w:r>
          </w:p>
        </w:tc>
        <w:tc>
          <w:tcPr>
            <w:tcW w:w="1100" w:type="dxa"/>
            <w:tcBorders>
              <w:top w:val="single" w:sz="4" w:space="0" w:color="BFBFBF"/>
              <w:left w:val="single" w:sz="4" w:space="0" w:color="BFBFBF"/>
              <w:bottom w:val="single" w:sz="4" w:space="0" w:color="BFBFBF"/>
              <w:right w:val="single" w:sz="4" w:space="0" w:color="BFBFBF"/>
            </w:tcBorders>
            <w:vAlign w:val="center"/>
          </w:tcPr>
          <w:p w14:paraId="75B5C31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6B51B85D"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6162C84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UMGRD</w:t>
            </w:r>
          </w:p>
        </w:tc>
        <w:tc>
          <w:tcPr>
            <w:tcW w:w="1750" w:type="dxa"/>
            <w:tcBorders>
              <w:top w:val="single" w:sz="4" w:space="0" w:color="BFBFBF"/>
              <w:left w:val="single" w:sz="4" w:space="0" w:color="BFBFBF"/>
              <w:bottom w:val="single" w:sz="4" w:space="0" w:color="BFBFBF"/>
              <w:right w:val="single" w:sz="4" w:space="0" w:color="BFBFBF"/>
            </w:tcBorders>
            <w:vAlign w:val="center"/>
          </w:tcPr>
          <w:p w14:paraId="25A921B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pública municipal</w:t>
            </w:r>
          </w:p>
        </w:tc>
        <w:tc>
          <w:tcPr>
            <w:tcW w:w="3271" w:type="dxa"/>
            <w:tcBorders>
              <w:top w:val="single" w:sz="4" w:space="0" w:color="BFBFBF"/>
              <w:left w:val="single" w:sz="4" w:space="0" w:color="BFBFBF"/>
              <w:bottom w:val="single" w:sz="4" w:space="0" w:color="BFBFBF"/>
              <w:right w:val="single" w:sz="4" w:space="0" w:color="BFBFBF"/>
            </w:tcBorders>
            <w:vAlign w:val="center"/>
          </w:tcPr>
          <w:p w14:paraId="647EEA2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enfoque de riesgo, amenaza, vulnerabilidad y seguridad territorial del hábitat.</w:t>
            </w:r>
          </w:p>
        </w:tc>
        <w:tc>
          <w:tcPr>
            <w:tcW w:w="1100" w:type="dxa"/>
            <w:tcBorders>
              <w:top w:val="single" w:sz="4" w:space="0" w:color="BFBFBF"/>
              <w:left w:val="single" w:sz="4" w:space="0" w:color="BFBFBF"/>
              <w:bottom w:val="single" w:sz="4" w:space="0" w:color="BFBFBF"/>
              <w:right w:val="single" w:sz="4" w:space="0" w:color="BFBFBF"/>
            </w:tcBorders>
            <w:vAlign w:val="center"/>
          </w:tcPr>
          <w:p w14:paraId="73E9CC5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48365636"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391ACAF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Secretaría del Interior</w:t>
            </w:r>
          </w:p>
        </w:tc>
        <w:tc>
          <w:tcPr>
            <w:tcW w:w="1750" w:type="dxa"/>
            <w:tcBorders>
              <w:top w:val="single" w:sz="4" w:space="0" w:color="BFBFBF"/>
              <w:left w:val="single" w:sz="4" w:space="0" w:color="BFBFBF"/>
              <w:bottom w:val="single" w:sz="4" w:space="0" w:color="BFBFBF"/>
              <w:right w:val="single" w:sz="4" w:space="0" w:color="BFBFBF"/>
            </w:tcBorders>
            <w:vAlign w:val="center"/>
          </w:tcPr>
          <w:p w14:paraId="53EA017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pública municipal</w:t>
            </w:r>
          </w:p>
        </w:tc>
        <w:tc>
          <w:tcPr>
            <w:tcW w:w="3271" w:type="dxa"/>
            <w:tcBorders>
              <w:top w:val="single" w:sz="4" w:space="0" w:color="BFBFBF"/>
              <w:left w:val="single" w:sz="4" w:space="0" w:color="BFBFBF"/>
              <w:bottom w:val="single" w:sz="4" w:space="0" w:color="BFBFBF"/>
              <w:right w:val="single" w:sz="4" w:space="0" w:color="BFBFBF"/>
            </w:tcBorders>
            <w:vAlign w:val="center"/>
          </w:tcPr>
          <w:p w14:paraId="5347C70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Participa desde su competencia institucional en escenarios de validación y articulación.</w:t>
            </w:r>
          </w:p>
        </w:tc>
        <w:tc>
          <w:tcPr>
            <w:tcW w:w="1100" w:type="dxa"/>
            <w:tcBorders>
              <w:top w:val="single" w:sz="4" w:space="0" w:color="BFBFBF"/>
              <w:left w:val="single" w:sz="4" w:space="0" w:color="BFBFBF"/>
              <w:bottom w:val="single" w:sz="4" w:space="0" w:color="BFBFBF"/>
              <w:right w:val="single" w:sz="4" w:space="0" w:color="BFBFBF"/>
            </w:tcBorders>
            <w:vAlign w:val="center"/>
          </w:tcPr>
          <w:p w14:paraId="03AABD8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w:t>
            </w:r>
          </w:p>
        </w:tc>
      </w:tr>
      <w:tr w:rsidR="00607E40" w14:paraId="14440C07"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679631D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lastRenderedPageBreak/>
              <w:t>Superintendencia de Notariado y Registro - Delegada de Tierras</w:t>
            </w:r>
          </w:p>
        </w:tc>
        <w:tc>
          <w:tcPr>
            <w:tcW w:w="1750" w:type="dxa"/>
            <w:tcBorders>
              <w:top w:val="single" w:sz="4" w:space="0" w:color="BFBFBF"/>
              <w:left w:val="single" w:sz="4" w:space="0" w:color="BFBFBF"/>
              <w:bottom w:val="single" w:sz="4" w:space="0" w:color="BFBFBF"/>
              <w:right w:val="single" w:sz="4" w:space="0" w:color="BFBFBF"/>
            </w:tcBorders>
            <w:vAlign w:val="center"/>
          </w:tcPr>
          <w:p w14:paraId="0803690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 nacional</w:t>
            </w:r>
          </w:p>
        </w:tc>
        <w:tc>
          <w:tcPr>
            <w:tcW w:w="3271" w:type="dxa"/>
            <w:tcBorders>
              <w:top w:val="single" w:sz="4" w:space="0" w:color="BFBFBF"/>
              <w:left w:val="single" w:sz="4" w:space="0" w:color="BFBFBF"/>
              <w:bottom w:val="single" w:sz="4" w:space="0" w:color="BFBFBF"/>
              <w:right w:val="single" w:sz="4" w:space="0" w:color="BFBFBF"/>
            </w:tcBorders>
            <w:vAlign w:val="center"/>
          </w:tcPr>
          <w:p w14:paraId="05E16D3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lectura sobre tenencia, formalización, tierra, registro y seguridad jurídica.</w:t>
            </w:r>
          </w:p>
        </w:tc>
        <w:tc>
          <w:tcPr>
            <w:tcW w:w="1100" w:type="dxa"/>
            <w:tcBorders>
              <w:top w:val="single" w:sz="4" w:space="0" w:color="BFBFBF"/>
              <w:left w:val="single" w:sz="4" w:space="0" w:color="BFBFBF"/>
              <w:bottom w:val="single" w:sz="4" w:space="0" w:color="BFBFBF"/>
              <w:right w:val="single" w:sz="4" w:space="0" w:color="BFBFBF"/>
            </w:tcBorders>
            <w:vAlign w:val="center"/>
          </w:tcPr>
          <w:p w14:paraId="3428976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18E18805"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18E2D5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Defensoría del Pueblo</w:t>
            </w:r>
          </w:p>
        </w:tc>
        <w:tc>
          <w:tcPr>
            <w:tcW w:w="1750" w:type="dxa"/>
            <w:tcBorders>
              <w:top w:val="single" w:sz="4" w:space="0" w:color="BFBFBF"/>
              <w:left w:val="single" w:sz="4" w:space="0" w:color="BFBFBF"/>
              <w:bottom w:val="single" w:sz="4" w:space="0" w:color="BFBFBF"/>
              <w:right w:val="single" w:sz="4" w:space="0" w:color="BFBFBF"/>
            </w:tcBorders>
            <w:vAlign w:val="center"/>
          </w:tcPr>
          <w:p w14:paraId="166DBF9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Ministerio Público / garante de derechos</w:t>
            </w:r>
          </w:p>
        </w:tc>
        <w:tc>
          <w:tcPr>
            <w:tcW w:w="3271" w:type="dxa"/>
            <w:tcBorders>
              <w:top w:val="single" w:sz="4" w:space="0" w:color="BFBFBF"/>
              <w:left w:val="single" w:sz="4" w:space="0" w:color="BFBFBF"/>
              <w:bottom w:val="single" w:sz="4" w:space="0" w:color="BFBFBF"/>
              <w:right w:val="single" w:sz="4" w:space="0" w:color="BFBFBF"/>
            </w:tcBorders>
            <w:vAlign w:val="center"/>
          </w:tcPr>
          <w:p w14:paraId="0B5CCA8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enfoque de derechos, protección de población vulnerable y garantía de participación.</w:t>
            </w:r>
          </w:p>
        </w:tc>
        <w:tc>
          <w:tcPr>
            <w:tcW w:w="1100" w:type="dxa"/>
            <w:tcBorders>
              <w:top w:val="single" w:sz="4" w:space="0" w:color="BFBFBF"/>
              <w:left w:val="single" w:sz="4" w:space="0" w:color="BFBFBF"/>
              <w:bottom w:val="single" w:sz="4" w:space="0" w:color="BFBFBF"/>
              <w:right w:val="single" w:sz="4" w:space="0" w:color="BFBFBF"/>
            </w:tcBorders>
            <w:vAlign w:val="center"/>
          </w:tcPr>
          <w:p w14:paraId="01D30E8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45FB6AED"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F2BF10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Universidad Santo Tomás</w:t>
            </w:r>
          </w:p>
        </w:tc>
        <w:tc>
          <w:tcPr>
            <w:tcW w:w="1750" w:type="dxa"/>
            <w:tcBorders>
              <w:top w:val="single" w:sz="4" w:space="0" w:color="BFBFBF"/>
              <w:left w:val="single" w:sz="4" w:space="0" w:color="BFBFBF"/>
              <w:bottom w:val="single" w:sz="4" w:space="0" w:color="BFBFBF"/>
              <w:right w:val="single" w:sz="4" w:space="0" w:color="BFBFBF"/>
            </w:tcBorders>
            <w:vAlign w:val="center"/>
          </w:tcPr>
          <w:p w14:paraId="73CA4F6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Academia</w:t>
            </w:r>
          </w:p>
        </w:tc>
        <w:tc>
          <w:tcPr>
            <w:tcW w:w="3271" w:type="dxa"/>
            <w:tcBorders>
              <w:top w:val="single" w:sz="4" w:space="0" w:color="BFBFBF"/>
              <w:left w:val="single" w:sz="4" w:space="0" w:color="BFBFBF"/>
              <w:bottom w:val="single" w:sz="4" w:space="0" w:color="BFBFBF"/>
              <w:right w:val="single" w:sz="4" w:space="0" w:color="BFBFBF"/>
            </w:tcBorders>
            <w:vAlign w:val="center"/>
          </w:tcPr>
          <w:p w14:paraId="3355865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Participa como actor académico externo en espacios de validación y retroalimentación.</w:t>
            </w:r>
          </w:p>
        </w:tc>
        <w:tc>
          <w:tcPr>
            <w:tcW w:w="1100" w:type="dxa"/>
            <w:tcBorders>
              <w:top w:val="single" w:sz="4" w:space="0" w:color="BFBFBF"/>
              <w:left w:val="single" w:sz="4" w:space="0" w:color="BFBFBF"/>
              <w:bottom w:val="single" w:sz="4" w:space="0" w:color="BFBFBF"/>
              <w:right w:val="single" w:sz="4" w:space="0" w:color="BFBFBF"/>
            </w:tcBorders>
            <w:vAlign w:val="center"/>
          </w:tcPr>
          <w:p w14:paraId="730FF37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w:t>
            </w:r>
          </w:p>
        </w:tc>
      </w:tr>
      <w:tr w:rsidR="00607E40" w14:paraId="62065525"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5941F28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Ciudadanía y comunidad</w:t>
            </w:r>
          </w:p>
        </w:tc>
        <w:tc>
          <w:tcPr>
            <w:tcW w:w="1750" w:type="dxa"/>
            <w:tcBorders>
              <w:top w:val="single" w:sz="4" w:space="0" w:color="BFBFBF"/>
              <w:left w:val="single" w:sz="4" w:space="0" w:color="BFBFBF"/>
              <w:bottom w:val="single" w:sz="4" w:space="0" w:color="BFBFBF"/>
              <w:right w:val="single" w:sz="4" w:space="0" w:color="BFBFBF"/>
            </w:tcBorders>
            <w:vAlign w:val="center"/>
          </w:tcPr>
          <w:p w14:paraId="5201ABC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Actor social</w:t>
            </w:r>
          </w:p>
        </w:tc>
        <w:tc>
          <w:tcPr>
            <w:tcW w:w="3271" w:type="dxa"/>
            <w:tcBorders>
              <w:top w:val="single" w:sz="4" w:space="0" w:color="BFBFBF"/>
              <w:left w:val="single" w:sz="4" w:space="0" w:color="BFBFBF"/>
              <w:bottom w:val="single" w:sz="4" w:space="0" w:color="BFBFBF"/>
              <w:right w:val="single" w:sz="4" w:space="0" w:color="BFBFBF"/>
            </w:tcBorders>
            <w:vAlign w:val="center"/>
          </w:tcPr>
          <w:p w14:paraId="2528253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 percepción territorial, necesidades habitacionales, expectativas y lectura social del problema.</w:t>
            </w:r>
          </w:p>
        </w:tc>
        <w:tc>
          <w:tcPr>
            <w:tcW w:w="1100" w:type="dxa"/>
            <w:tcBorders>
              <w:top w:val="single" w:sz="4" w:space="0" w:color="BFBFBF"/>
              <w:left w:val="single" w:sz="4" w:space="0" w:color="BFBFBF"/>
              <w:bottom w:val="single" w:sz="4" w:space="0" w:color="BFBFBF"/>
              <w:right w:val="single" w:sz="4" w:space="0" w:color="BFBFBF"/>
            </w:tcBorders>
            <w:vAlign w:val="center"/>
          </w:tcPr>
          <w:p w14:paraId="1027CD9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207D42C4"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27FD56F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Gremios privados y actores del sector inmobiliario</w:t>
            </w:r>
          </w:p>
        </w:tc>
        <w:tc>
          <w:tcPr>
            <w:tcW w:w="1750" w:type="dxa"/>
            <w:tcBorders>
              <w:top w:val="single" w:sz="4" w:space="0" w:color="BFBFBF"/>
              <w:left w:val="single" w:sz="4" w:space="0" w:color="BFBFBF"/>
              <w:bottom w:val="single" w:sz="4" w:space="0" w:color="BFBFBF"/>
              <w:right w:val="single" w:sz="4" w:space="0" w:color="BFBFBF"/>
            </w:tcBorders>
            <w:vAlign w:val="center"/>
          </w:tcPr>
          <w:p w14:paraId="3CFF0CF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Sector privado</w:t>
            </w:r>
          </w:p>
        </w:tc>
        <w:tc>
          <w:tcPr>
            <w:tcW w:w="3271" w:type="dxa"/>
            <w:tcBorders>
              <w:top w:val="single" w:sz="4" w:space="0" w:color="BFBFBF"/>
              <w:left w:val="single" w:sz="4" w:space="0" w:color="BFBFBF"/>
              <w:bottom w:val="single" w:sz="4" w:space="0" w:color="BFBFBF"/>
              <w:right w:val="single" w:sz="4" w:space="0" w:color="BFBFBF"/>
            </w:tcBorders>
            <w:vAlign w:val="center"/>
          </w:tcPr>
          <w:p w14:paraId="1FA2210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Aportan observaciones sobre mercado habitacional, oferta, suelo, financiación, costos y viabilidad.</w:t>
            </w:r>
          </w:p>
        </w:tc>
        <w:tc>
          <w:tcPr>
            <w:tcW w:w="1100" w:type="dxa"/>
            <w:tcBorders>
              <w:top w:val="single" w:sz="4" w:space="0" w:color="BFBFBF"/>
              <w:left w:val="single" w:sz="4" w:space="0" w:color="BFBFBF"/>
              <w:bottom w:val="single" w:sz="4" w:space="0" w:color="BFBFBF"/>
              <w:right w:val="single" w:sz="4" w:space="0" w:color="BFBFBF"/>
            </w:tcBorders>
            <w:vAlign w:val="center"/>
          </w:tcPr>
          <w:p w14:paraId="29D9B83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r w:rsidR="00607E40" w14:paraId="17D10FCE"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00772DC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Lonjas inmobiliarias y actores del mercado de suelo</w:t>
            </w:r>
          </w:p>
        </w:tc>
        <w:tc>
          <w:tcPr>
            <w:tcW w:w="1750" w:type="dxa"/>
            <w:tcBorders>
              <w:top w:val="single" w:sz="4" w:space="0" w:color="BFBFBF"/>
              <w:left w:val="single" w:sz="4" w:space="0" w:color="BFBFBF"/>
              <w:bottom w:val="single" w:sz="4" w:space="0" w:color="BFBFBF"/>
              <w:right w:val="single" w:sz="4" w:space="0" w:color="BFBFBF"/>
            </w:tcBorders>
            <w:vAlign w:val="center"/>
          </w:tcPr>
          <w:p w14:paraId="7724C7B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Sector privado especializado</w:t>
            </w:r>
          </w:p>
        </w:tc>
        <w:tc>
          <w:tcPr>
            <w:tcW w:w="3271" w:type="dxa"/>
            <w:tcBorders>
              <w:top w:val="single" w:sz="4" w:space="0" w:color="BFBFBF"/>
              <w:left w:val="single" w:sz="4" w:space="0" w:color="BFBFBF"/>
              <w:bottom w:val="single" w:sz="4" w:space="0" w:color="BFBFBF"/>
              <w:right w:val="single" w:sz="4" w:space="0" w:color="BFBFBF"/>
            </w:tcBorders>
            <w:vAlign w:val="center"/>
          </w:tcPr>
          <w:p w14:paraId="590ECB2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Relevantes para avalúos, dinámica inmobiliaria, suelo y gestión urbana.</w:t>
            </w:r>
          </w:p>
        </w:tc>
        <w:tc>
          <w:tcPr>
            <w:tcW w:w="1100" w:type="dxa"/>
            <w:tcBorders>
              <w:top w:val="single" w:sz="4" w:space="0" w:color="BFBFBF"/>
              <w:left w:val="single" w:sz="4" w:space="0" w:color="BFBFBF"/>
              <w:bottom w:val="single" w:sz="4" w:space="0" w:color="BFBFBF"/>
              <w:right w:val="single" w:sz="4" w:space="0" w:color="BFBFBF"/>
            </w:tcBorders>
            <w:vAlign w:val="center"/>
          </w:tcPr>
          <w:p w14:paraId="2794F03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52D037B5"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4A581BC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Medios de comunicación / prensa</w:t>
            </w:r>
          </w:p>
        </w:tc>
        <w:tc>
          <w:tcPr>
            <w:tcW w:w="1750" w:type="dxa"/>
            <w:tcBorders>
              <w:top w:val="single" w:sz="4" w:space="0" w:color="BFBFBF"/>
              <w:left w:val="single" w:sz="4" w:space="0" w:color="BFBFBF"/>
              <w:bottom w:val="single" w:sz="4" w:space="0" w:color="BFBFBF"/>
              <w:right w:val="single" w:sz="4" w:space="0" w:color="BFBFBF"/>
            </w:tcBorders>
            <w:vAlign w:val="center"/>
          </w:tcPr>
          <w:p w14:paraId="312EF8F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Divulgación y transparencia</w:t>
            </w:r>
          </w:p>
        </w:tc>
        <w:tc>
          <w:tcPr>
            <w:tcW w:w="3271" w:type="dxa"/>
            <w:tcBorders>
              <w:top w:val="single" w:sz="4" w:space="0" w:color="BFBFBF"/>
              <w:left w:val="single" w:sz="4" w:space="0" w:color="BFBFBF"/>
              <w:bottom w:val="single" w:sz="4" w:space="0" w:color="BFBFBF"/>
              <w:right w:val="single" w:sz="4" w:space="0" w:color="BFBFBF"/>
            </w:tcBorders>
            <w:vAlign w:val="center"/>
          </w:tcPr>
          <w:p w14:paraId="7210DFE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Contribuyen a la visibilidad pública, difusión de convocatorias y socialización institucional.</w:t>
            </w:r>
          </w:p>
        </w:tc>
        <w:tc>
          <w:tcPr>
            <w:tcW w:w="1100" w:type="dxa"/>
            <w:tcBorders>
              <w:top w:val="single" w:sz="4" w:space="0" w:color="BFBFBF"/>
              <w:left w:val="single" w:sz="4" w:space="0" w:color="BFBFBF"/>
              <w:bottom w:val="single" w:sz="4" w:space="0" w:color="BFBFBF"/>
              <w:right w:val="single" w:sz="4" w:space="0" w:color="BFBFBF"/>
            </w:tcBorders>
            <w:vAlign w:val="center"/>
          </w:tcPr>
          <w:p w14:paraId="0C69D2F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w:t>
            </w:r>
          </w:p>
        </w:tc>
      </w:tr>
      <w:tr w:rsidR="00607E40" w14:paraId="4A440B5C"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8F6080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Curadurías Urbanas de Bucaramanga</w:t>
            </w:r>
          </w:p>
        </w:tc>
        <w:tc>
          <w:tcPr>
            <w:tcW w:w="1750" w:type="dxa"/>
            <w:tcBorders>
              <w:top w:val="single" w:sz="4" w:space="0" w:color="BFBFBF"/>
              <w:left w:val="single" w:sz="4" w:space="0" w:color="BFBFBF"/>
              <w:bottom w:val="single" w:sz="4" w:space="0" w:color="BFBFBF"/>
              <w:right w:val="single" w:sz="4" w:space="0" w:color="BFBFBF"/>
            </w:tcBorders>
            <w:vAlign w:val="center"/>
          </w:tcPr>
          <w:p w14:paraId="319DBB6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Autoridad urbanística / licenciamiento</w:t>
            </w:r>
          </w:p>
        </w:tc>
        <w:tc>
          <w:tcPr>
            <w:tcW w:w="3271" w:type="dxa"/>
            <w:tcBorders>
              <w:top w:val="single" w:sz="4" w:space="0" w:color="BFBFBF"/>
              <w:left w:val="single" w:sz="4" w:space="0" w:color="BFBFBF"/>
              <w:bottom w:val="single" w:sz="4" w:space="0" w:color="BFBFBF"/>
              <w:right w:val="single" w:sz="4" w:space="0" w:color="BFBFBF"/>
            </w:tcBorders>
            <w:vAlign w:val="center"/>
          </w:tcPr>
          <w:p w14:paraId="0B2AF1E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Vinculadas en la identificación de actores e insumos sobre constructoras, urbanizadores y licencias urbanísticas.</w:t>
            </w:r>
          </w:p>
        </w:tc>
        <w:tc>
          <w:tcPr>
            <w:tcW w:w="1100" w:type="dxa"/>
            <w:tcBorders>
              <w:top w:val="single" w:sz="4" w:space="0" w:color="BFBFBF"/>
              <w:left w:val="single" w:sz="4" w:space="0" w:color="BFBFBF"/>
              <w:bottom w:val="single" w:sz="4" w:space="0" w:color="BFBFBF"/>
              <w:right w:val="single" w:sz="4" w:space="0" w:color="BFBFBF"/>
            </w:tcBorders>
            <w:vAlign w:val="center"/>
          </w:tcPr>
          <w:p w14:paraId="098EE71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7B58E206"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2F74B67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Curaduría Urbana No. 2 de Bucaramanga</w:t>
            </w:r>
          </w:p>
        </w:tc>
        <w:tc>
          <w:tcPr>
            <w:tcW w:w="1750" w:type="dxa"/>
            <w:tcBorders>
              <w:top w:val="single" w:sz="4" w:space="0" w:color="BFBFBF"/>
              <w:left w:val="single" w:sz="4" w:space="0" w:color="BFBFBF"/>
              <w:bottom w:val="single" w:sz="4" w:space="0" w:color="BFBFBF"/>
              <w:right w:val="single" w:sz="4" w:space="0" w:color="BFBFBF"/>
            </w:tcBorders>
            <w:vAlign w:val="center"/>
          </w:tcPr>
          <w:p w14:paraId="2B89D31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Autoridad urbanística / actor consultado</w:t>
            </w:r>
          </w:p>
        </w:tc>
        <w:tc>
          <w:tcPr>
            <w:tcW w:w="3271" w:type="dxa"/>
            <w:tcBorders>
              <w:top w:val="single" w:sz="4" w:space="0" w:color="BFBFBF"/>
              <w:left w:val="single" w:sz="4" w:space="0" w:color="BFBFBF"/>
              <w:bottom w:val="single" w:sz="4" w:space="0" w:color="BFBFBF"/>
              <w:right w:val="single" w:sz="4" w:space="0" w:color="BFBFBF"/>
            </w:tcBorders>
            <w:vAlign w:val="center"/>
          </w:tcPr>
          <w:p w14:paraId="617418F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Respondió la solicitud de caracterización de actores, orientando la articulación con CAMACOL.</w:t>
            </w:r>
          </w:p>
        </w:tc>
        <w:tc>
          <w:tcPr>
            <w:tcW w:w="1100" w:type="dxa"/>
            <w:tcBorders>
              <w:top w:val="single" w:sz="4" w:space="0" w:color="BFBFBF"/>
              <w:left w:val="single" w:sz="4" w:space="0" w:color="BFBFBF"/>
              <w:bottom w:val="single" w:sz="4" w:space="0" w:color="BFBFBF"/>
              <w:right w:val="single" w:sz="4" w:space="0" w:color="BFBFBF"/>
            </w:tcBorders>
            <w:vAlign w:val="center"/>
          </w:tcPr>
          <w:p w14:paraId="3DEE55A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025BFFC1"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BE3F1C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Ministerio de Vivienda, DNP, DANE, FINDETER y PNUD</w:t>
            </w:r>
          </w:p>
        </w:tc>
        <w:tc>
          <w:tcPr>
            <w:tcW w:w="1750" w:type="dxa"/>
            <w:tcBorders>
              <w:top w:val="single" w:sz="4" w:space="0" w:color="BFBFBF"/>
              <w:left w:val="single" w:sz="4" w:space="0" w:color="BFBFBF"/>
              <w:bottom w:val="single" w:sz="4" w:space="0" w:color="BFBFBF"/>
              <w:right w:val="single" w:sz="4" w:space="0" w:color="BFBFBF"/>
            </w:tcBorders>
            <w:vAlign w:val="center"/>
          </w:tcPr>
          <w:p w14:paraId="12BEFA7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Entidades nacionales y organismos de apoyo</w:t>
            </w:r>
          </w:p>
        </w:tc>
        <w:tc>
          <w:tcPr>
            <w:tcW w:w="3271" w:type="dxa"/>
            <w:tcBorders>
              <w:top w:val="single" w:sz="4" w:space="0" w:color="BFBFBF"/>
              <w:left w:val="single" w:sz="4" w:space="0" w:color="BFBFBF"/>
              <w:bottom w:val="single" w:sz="4" w:space="0" w:color="BFBFBF"/>
              <w:right w:val="single" w:sz="4" w:space="0" w:color="BFBFBF"/>
            </w:tcBorders>
            <w:vAlign w:val="center"/>
          </w:tcPr>
          <w:p w14:paraId="439C8B2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Incluidos en la convocatoria interinstitucional por su relación con vivienda, planeación, estadística, financiación y desarrollo territorial.</w:t>
            </w:r>
          </w:p>
        </w:tc>
        <w:tc>
          <w:tcPr>
            <w:tcW w:w="1100" w:type="dxa"/>
            <w:tcBorders>
              <w:top w:val="single" w:sz="4" w:space="0" w:color="BFBFBF"/>
              <w:left w:val="single" w:sz="4" w:space="0" w:color="BFBFBF"/>
              <w:bottom w:val="single" w:sz="4" w:space="0" w:color="BFBFBF"/>
              <w:right w:val="single" w:sz="4" w:space="0" w:color="BFBFBF"/>
            </w:tcBorders>
            <w:vAlign w:val="center"/>
          </w:tcPr>
          <w:p w14:paraId="6792B5F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3A66F042"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E6F50F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CDMB, Personería, Concejo Municipal y Gobernación de Santander</w:t>
            </w:r>
          </w:p>
        </w:tc>
        <w:tc>
          <w:tcPr>
            <w:tcW w:w="1750" w:type="dxa"/>
            <w:tcBorders>
              <w:top w:val="single" w:sz="4" w:space="0" w:color="BFBFBF"/>
              <w:left w:val="single" w:sz="4" w:space="0" w:color="BFBFBF"/>
              <w:bottom w:val="single" w:sz="4" w:space="0" w:color="BFBFBF"/>
              <w:right w:val="single" w:sz="4" w:space="0" w:color="BFBFBF"/>
            </w:tcBorders>
            <w:vAlign w:val="center"/>
          </w:tcPr>
          <w:p w14:paraId="2F8253B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Autoridades ambientales, control, corporación y nivel departamental</w:t>
            </w:r>
          </w:p>
        </w:tc>
        <w:tc>
          <w:tcPr>
            <w:tcW w:w="3271" w:type="dxa"/>
            <w:tcBorders>
              <w:top w:val="single" w:sz="4" w:space="0" w:color="BFBFBF"/>
              <w:left w:val="single" w:sz="4" w:space="0" w:color="BFBFBF"/>
              <w:bottom w:val="single" w:sz="4" w:space="0" w:color="BFBFBF"/>
              <w:right w:val="single" w:sz="4" w:space="0" w:color="BFBFBF"/>
            </w:tcBorders>
            <w:vAlign w:val="center"/>
          </w:tcPr>
          <w:p w14:paraId="35D1D27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Convocados por su incidencia en control, seguimiento, determinantes ambientales, deliberación y coordinación territorial.</w:t>
            </w:r>
          </w:p>
        </w:tc>
        <w:tc>
          <w:tcPr>
            <w:tcW w:w="1100" w:type="dxa"/>
            <w:tcBorders>
              <w:top w:val="single" w:sz="4" w:space="0" w:color="BFBFBF"/>
              <w:left w:val="single" w:sz="4" w:space="0" w:color="BFBFBF"/>
              <w:bottom w:val="single" w:sz="4" w:space="0" w:color="BFBFBF"/>
              <w:right w:val="single" w:sz="4" w:space="0" w:color="BFBFBF"/>
            </w:tcBorders>
            <w:vAlign w:val="center"/>
          </w:tcPr>
          <w:p w14:paraId="4D831FC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6F5E3B13"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1A1BDB1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Municipios del Área Metropolitana</w:t>
            </w:r>
          </w:p>
        </w:tc>
        <w:tc>
          <w:tcPr>
            <w:tcW w:w="1750" w:type="dxa"/>
            <w:tcBorders>
              <w:top w:val="single" w:sz="4" w:space="0" w:color="BFBFBF"/>
              <w:left w:val="single" w:sz="4" w:space="0" w:color="BFBFBF"/>
              <w:bottom w:val="single" w:sz="4" w:space="0" w:color="BFBFBF"/>
              <w:right w:val="single" w:sz="4" w:space="0" w:color="BFBFBF"/>
            </w:tcBorders>
            <w:vAlign w:val="center"/>
          </w:tcPr>
          <w:p w14:paraId="39B09CE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Entidades territoriales metropolitanas</w:t>
            </w:r>
          </w:p>
        </w:tc>
        <w:tc>
          <w:tcPr>
            <w:tcW w:w="3271" w:type="dxa"/>
            <w:tcBorders>
              <w:top w:val="single" w:sz="4" w:space="0" w:color="BFBFBF"/>
              <w:left w:val="single" w:sz="4" w:space="0" w:color="BFBFBF"/>
              <w:bottom w:val="single" w:sz="4" w:space="0" w:color="BFBFBF"/>
              <w:right w:val="single" w:sz="4" w:space="0" w:color="BFBFBF"/>
            </w:tcBorders>
            <w:vAlign w:val="center"/>
          </w:tcPr>
          <w:p w14:paraId="47812A4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Convocados como actores territoriales por la incidencia metropolitana de vivienda, suelo, movilidad y expansión urbana.</w:t>
            </w:r>
          </w:p>
        </w:tc>
        <w:tc>
          <w:tcPr>
            <w:tcW w:w="1100" w:type="dxa"/>
            <w:tcBorders>
              <w:top w:val="single" w:sz="4" w:space="0" w:color="BFBFBF"/>
              <w:left w:val="single" w:sz="4" w:space="0" w:color="BFBFBF"/>
              <w:bottom w:val="single" w:sz="4" w:space="0" w:color="BFBFBF"/>
              <w:right w:val="single" w:sz="4" w:space="0" w:color="BFBFBF"/>
            </w:tcBorders>
            <w:vAlign w:val="center"/>
          </w:tcPr>
          <w:p w14:paraId="4140D5F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1C0ADCE0"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0D0D44E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Empresas de servicios públicos y soporte urbano</w:t>
            </w:r>
          </w:p>
        </w:tc>
        <w:tc>
          <w:tcPr>
            <w:tcW w:w="1750" w:type="dxa"/>
            <w:tcBorders>
              <w:top w:val="single" w:sz="4" w:space="0" w:color="BFBFBF"/>
              <w:left w:val="single" w:sz="4" w:space="0" w:color="BFBFBF"/>
              <w:bottom w:val="single" w:sz="4" w:space="0" w:color="BFBFBF"/>
              <w:right w:val="single" w:sz="4" w:space="0" w:color="BFBFBF"/>
            </w:tcBorders>
            <w:vAlign w:val="center"/>
          </w:tcPr>
          <w:p w14:paraId="51186B0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Prestadores y actores técnicos</w:t>
            </w:r>
          </w:p>
        </w:tc>
        <w:tc>
          <w:tcPr>
            <w:tcW w:w="3271" w:type="dxa"/>
            <w:tcBorders>
              <w:top w:val="single" w:sz="4" w:space="0" w:color="BFBFBF"/>
              <w:left w:val="single" w:sz="4" w:space="0" w:color="BFBFBF"/>
              <w:bottom w:val="single" w:sz="4" w:space="0" w:color="BFBFBF"/>
              <w:right w:val="single" w:sz="4" w:space="0" w:color="BFBFBF"/>
            </w:tcBorders>
            <w:vAlign w:val="center"/>
          </w:tcPr>
          <w:p w14:paraId="30CF4FC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Convocados para aportar información sobre capacidades, oferta de servicios y soporte urbano.</w:t>
            </w:r>
          </w:p>
        </w:tc>
        <w:tc>
          <w:tcPr>
            <w:tcW w:w="1100" w:type="dxa"/>
            <w:tcBorders>
              <w:top w:val="single" w:sz="4" w:space="0" w:color="BFBFBF"/>
              <w:left w:val="single" w:sz="4" w:space="0" w:color="BFBFBF"/>
              <w:bottom w:val="single" w:sz="4" w:space="0" w:color="BFBFBF"/>
              <w:right w:val="single" w:sz="4" w:space="0" w:color="BFBFBF"/>
            </w:tcBorders>
            <w:vAlign w:val="center"/>
          </w:tcPr>
          <w:p w14:paraId="1C34436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w:t>
            </w:r>
          </w:p>
        </w:tc>
      </w:tr>
      <w:tr w:rsidR="00607E40" w14:paraId="1AE8396B"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67C84D0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Sector financiero, Fondo Nacional del Ahorro y cajas de compensación</w:t>
            </w:r>
          </w:p>
        </w:tc>
        <w:tc>
          <w:tcPr>
            <w:tcW w:w="1750" w:type="dxa"/>
            <w:tcBorders>
              <w:top w:val="single" w:sz="4" w:space="0" w:color="BFBFBF"/>
              <w:left w:val="single" w:sz="4" w:space="0" w:color="BFBFBF"/>
              <w:bottom w:val="single" w:sz="4" w:space="0" w:color="BFBFBF"/>
              <w:right w:val="single" w:sz="4" w:space="0" w:color="BFBFBF"/>
            </w:tcBorders>
            <w:vAlign w:val="center"/>
          </w:tcPr>
          <w:p w14:paraId="0A3FBC3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Actores de financiación y acceso a vivienda</w:t>
            </w:r>
          </w:p>
        </w:tc>
        <w:tc>
          <w:tcPr>
            <w:tcW w:w="3271" w:type="dxa"/>
            <w:tcBorders>
              <w:top w:val="single" w:sz="4" w:space="0" w:color="BFBFBF"/>
              <w:left w:val="single" w:sz="4" w:space="0" w:color="BFBFBF"/>
              <w:bottom w:val="single" w:sz="4" w:space="0" w:color="BFBFBF"/>
              <w:right w:val="single" w:sz="4" w:space="0" w:color="BFBFBF"/>
            </w:tcBorders>
            <w:vAlign w:val="center"/>
          </w:tcPr>
          <w:p w14:paraId="4A2560E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Incluidos por su incidencia en cierre financiero, subsidios, crédito, ahorro y acceso a vivienda formal.</w:t>
            </w:r>
          </w:p>
        </w:tc>
        <w:tc>
          <w:tcPr>
            <w:tcW w:w="1100" w:type="dxa"/>
            <w:tcBorders>
              <w:top w:val="single" w:sz="4" w:space="0" w:color="BFBFBF"/>
              <w:left w:val="single" w:sz="4" w:space="0" w:color="BFBFBF"/>
              <w:bottom w:val="single" w:sz="4" w:space="0" w:color="BFBFBF"/>
              <w:right w:val="single" w:sz="4" w:space="0" w:color="BFBFBF"/>
            </w:tcBorders>
            <w:vAlign w:val="center"/>
          </w:tcPr>
          <w:p w14:paraId="17044C1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Medio-alto</w:t>
            </w:r>
          </w:p>
        </w:tc>
      </w:tr>
      <w:tr w:rsidR="00607E40" w14:paraId="2991F1E1" w14:textId="77777777">
        <w:trPr>
          <w:jc w:val="center"/>
        </w:trPr>
        <w:tc>
          <w:tcPr>
            <w:tcW w:w="2150" w:type="dxa"/>
            <w:tcBorders>
              <w:top w:val="single" w:sz="4" w:space="0" w:color="BFBFBF"/>
              <w:left w:val="single" w:sz="4" w:space="0" w:color="BFBFBF"/>
              <w:bottom w:val="single" w:sz="4" w:space="0" w:color="BFBFBF"/>
              <w:right w:val="single" w:sz="4" w:space="0" w:color="BFBFBF"/>
            </w:tcBorders>
            <w:vAlign w:val="center"/>
          </w:tcPr>
          <w:p w14:paraId="59EF8BA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Constructoras, urbanizadores y empresas de desarrollo urbano</w:t>
            </w:r>
          </w:p>
        </w:tc>
        <w:tc>
          <w:tcPr>
            <w:tcW w:w="1750" w:type="dxa"/>
            <w:tcBorders>
              <w:top w:val="single" w:sz="4" w:space="0" w:color="BFBFBF"/>
              <w:left w:val="single" w:sz="4" w:space="0" w:color="BFBFBF"/>
              <w:bottom w:val="single" w:sz="4" w:space="0" w:color="BFBFBF"/>
              <w:right w:val="single" w:sz="4" w:space="0" w:color="BFBFBF"/>
            </w:tcBorders>
            <w:vAlign w:val="center"/>
          </w:tcPr>
          <w:p w14:paraId="55CD279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Sector privado especializado</w:t>
            </w:r>
          </w:p>
        </w:tc>
        <w:tc>
          <w:tcPr>
            <w:tcW w:w="3271" w:type="dxa"/>
            <w:tcBorders>
              <w:top w:val="single" w:sz="4" w:space="0" w:color="BFBFBF"/>
              <w:left w:val="single" w:sz="4" w:space="0" w:color="BFBFBF"/>
              <w:bottom w:val="single" w:sz="4" w:space="0" w:color="BFBFBF"/>
              <w:right w:val="single" w:sz="4" w:space="0" w:color="BFBFBF"/>
            </w:tcBorders>
            <w:vAlign w:val="center"/>
          </w:tcPr>
          <w:p w14:paraId="3A75706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Convocados para aportar información sobre oferta habitacional, costos de habilitación, suelo y articulación público-privada.</w:t>
            </w:r>
          </w:p>
        </w:tc>
        <w:tc>
          <w:tcPr>
            <w:tcW w:w="1100" w:type="dxa"/>
            <w:tcBorders>
              <w:top w:val="single" w:sz="4" w:space="0" w:color="BFBFBF"/>
              <w:left w:val="single" w:sz="4" w:space="0" w:color="BFBFBF"/>
              <w:bottom w:val="single" w:sz="4" w:space="0" w:color="BFBFBF"/>
              <w:right w:val="single" w:sz="4" w:space="0" w:color="BFBFBF"/>
            </w:tcBorders>
            <w:vAlign w:val="center"/>
          </w:tcPr>
          <w:p w14:paraId="4664F18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5"/>
                <w:szCs w:val="15"/>
                <w:lang w:eastAsia="ar-SA"/>
              </w:rPr>
              <w:t>Alto</w:t>
            </w:r>
          </w:p>
        </w:tc>
      </w:tr>
    </w:tbl>
    <w:p w14:paraId="5EF8FC8F" w14:textId="77777777" w:rsidR="00607E40" w:rsidRDefault="00607E40">
      <w:pPr>
        <w:spacing w:after="80" w:line="240" w:lineRule="auto"/>
        <w:rPr>
          <w:rFonts w:ascii="Arial Narrow" w:eastAsia="Times New Roman" w:hAnsi="Arial Narrow" w:cs="Arial"/>
          <w:lang w:eastAsia="ar-SA"/>
        </w:rPr>
      </w:pPr>
    </w:p>
    <w:p w14:paraId="10FDE028" w14:textId="77777777" w:rsidR="00607E40" w:rsidRDefault="00000000">
      <w:pPr>
        <w:spacing w:after="120" w:line="240" w:lineRule="auto"/>
        <w:jc w:val="both"/>
        <w:rPr>
          <w:rFonts w:ascii="Arial Narrow" w:eastAsia="Times New Roman" w:hAnsi="Arial Narrow" w:cs="Arial"/>
          <w:lang w:eastAsia="ar-SA"/>
        </w:rPr>
      </w:pPr>
      <w:r>
        <w:rPr>
          <w:rFonts w:ascii="Arial Narrow" w:eastAsia="Times New Roman" w:hAnsi="Arial Narrow" w:cs="Arial"/>
          <w:lang w:eastAsia="ar-SA"/>
        </w:rPr>
        <w:t>Así mismo, se presenta la matriz de socializaciones, revisiones y divulgaciones por etapa metodológica, que identifica el insumo socializado, el mecanismo, los actores vinculados y el estado:</w:t>
      </w:r>
    </w:p>
    <w:p w14:paraId="0776F3EA" w14:textId="77777777" w:rsidR="00DC52EF" w:rsidRDefault="00DC52EF">
      <w:pPr>
        <w:spacing w:after="120" w:line="240" w:lineRule="auto"/>
        <w:jc w:val="both"/>
        <w:rPr>
          <w:rFonts w:ascii="Arial Narrow" w:eastAsia="Times New Roman" w:hAnsi="Arial Narrow" w:cs="Arial"/>
          <w:lang w:eastAsia="ar-SA"/>
        </w:rPr>
      </w:pPr>
    </w:p>
    <w:tbl>
      <w:tblPr>
        <w:tblW w:w="827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30" w:type="dxa"/>
          <w:left w:w="80" w:type="dxa"/>
          <w:bottom w:w="30" w:type="dxa"/>
          <w:right w:w="80" w:type="dxa"/>
        </w:tblCellMar>
        <w:tblLook w:val="04A0" w:firstRow="1" w:lastRow="0" w:firstColumn="1" w:lastColumn="0" w:noHBand="0" w:noVBand="1"/>
      </w:tblPr>
      <w:tblGrid>
        <w:gridCol w:w="1626"/>
        <w:gridCol w:w="1672"/>
        <w:gridCol w:w="1721"/>
        <w:gridCol w:w="2211"/>
        <w:gridCol w:w="1041"/>
      </w:tblGrid>
      <w:tr w:rsidR="00607E40" w14:paraId="6B9B50DC" w14:textId="77777777">
        <w:trPr>
          <w:tblHeader/>
          <w:jc w:val="center"/>
        </w:trPr>
        <w:tc>
          <w:tcPr>
            <w:tcW w:w="16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768D08B6"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Etapa metodológica</w:t>
            </w:r>
          </w:p>
        </w:tc>
        <w:tc>
          <w:tcPr>
            <w:tcW w:w="17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1B943870"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Insumo socializado</w:t>
            </w:r>
          </w:p>
        </w:tc>
        <w:tc>
          <w:tcPr>
            <w:tcW w:w="175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2045E027"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Mecanismo</w:t>
            </w:r>
          </w:p>
        </w:tc>
        <w:tc>
          <w:tcPr>
            <w:tcW w:w="2271"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33B50C3D"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Actores vinculados</w:t>
            </w:r>
          </w:p>
        </w:tc>
        <w:tc>
          <w:tcPr>
            <w:tcW w:w="900" w:type="dxa"/>
            <w:tcBorders>
              <w:top w:val="single" w:sz="4" w:space="0" w:color="BFBFBF"/>
              <w:left w:val="single" w:sz="4" w:space="0" w:color="BFBFBF"/>
              <w:bottom w:val="single" w:sz="4" w:space="0" w:color="BFBFBF"/>
              <w:right w:val="single" w:sz="4" w:space="0" w:color="BFBFBF"/>
            </w:tcBorders>
            <w:shd w:val="clear" w:color="auto" w:fill="D9E2F3"/>
            <w:vAlign w:val="center"/>
          </w:tcPr>
          <w:p w14:paraId="43A3525B" w14:textId="77777777" w:rsidR="00607E40" w:rsidRDefault="00000000">
            <w:pPr>
              <w:spacing w:after="20" w:line="240" w:lineRule="auto"/>
              <w:jc w:val="center"/>
              <w:rPr>
                <w:rFonts w:ascii="Arial Narrow" w:eastAsia="Times New Roman" w:hAnsi="Arial Narrow" w:cs="Arial"/>
                <w:lang w:eastAsia="ar-SA"/>
              </w:rPr>
            </w:pPr>
            <w:r>
              <w:rPr>
                <w:rFonts w:ascii="Arial Narrow" w:eastAsia="Times New Roman" w:hAnsi="Arial Narrow" w:cs="Arial"/>
                <w:b/>
                <w:sz w:val="18"/>
                <w:szCs w:val="18"/>
                <w:lang w:eastAsia="ar-SA"/>
              </w:rPr>
              <w:t>Estado</w:t>
            </w:r>
          </w:p>
        </w:tc>
      </w:tr>
      <w:tr w:rsidR="00607E40" w14:paraId="6D7E809E"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407A060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Fase preparatoria y alistamiento</w:t>
            </w:r>
          </w:p>
        </w:tc>
        <w:tc>
          <w:tcPr>
            <w:tcW w:w="1700" w:type="dxa"/>
            <w:tcBorders>
              <w:top w:val="single" w:sz="4" w:space="0" w:color="BFBFBF"/>
              <w:left w:val="single" w:sz="4" w:space="0" w:color="BFBFBF"/>
              <w:bottom w:val="single" w:sz="4" w:space="0" w:color="BFBFBF"/>
              <w:right w:val="single" w:sz="4" w:space="0" w:color="BFBFBF"/>
            </w:tcBorders>
            <w:vAlign w:val="center"/>
          </w:tcPr>
          <w:p w14:paraId="244608F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Contextualización inicial del proceso</w:t>
            </w:r>
          </w:p>
        </w:tc>
        <w:tc>
          <w:tcPr>
            <w:tcW w:w="1750" w:type="dxa"/>
            <w:tcBorders>
              <w:top w:val="single" w:sz="4" w:space="0" w:color="BFBFBF"/>
              <w:left w:val="single" w:sz="4" w:space="0" w:color="BFBFBF"/>
              <w:bottom w:val="single" w:sz="4" w:space="0" w:color="BFBFBF"/>
              <w:right w:val="single" w:sz="4" w:space="0" w:color="BFBFBF"/>
            </w:tcBorders>
            <w:vAlign w:val="center"/>
          </w:tcPr>
          <w:p w14:paraId="2DD3D8E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Reuniones de contextualización y planeación</w:t>
            </w:r>
          </w:p>
        </w:tc>
        <w:tc>
          <w:tcPr>
            <w:tcW w:w="2271" w:type="dxa"/>
            <w:tcBorders>
              <w:top w:val="single" w:sz="4" w:space="0" w:color="BFBFBF"/>
              <w:left w:val="single" w:sz="4" w:space="0" w:color="BFBFBF"/>
              <w:bottom w:val="single" w:sz="4" w:space="0" w:color="BFBFBF"/>
              <w:right w:val="single" w:sz="4" w:space="0" w:color="BFBFBF"/>
            </w:tcBorders>
            <w:vAlign w:val="center"/>
          </w:tcPr>
          <w:p w14:paraId="3336087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Secretaría de Planeación, UPB, INVISBU y equipo técnico</w:t>
            </w:r>
          </w:p>
        </w:tc>
        <w:tc>
          <w:tcPr>
            <w:tcW w:w="900" w:type="dxa"/>
            <w:tcBorders>
              <w:top w:val="single" w:sz="4" w:space="0" w:color="BFBFBF"/>
              <w:left w:val="single" w:sz="4" w:space="0" w:color="BFBFBF"/>
              <w:bottom w:val="single" w:sz="4" w:space="0" w:color="BFBFBF"/>
              <w:right w:val="single" w:sz="4" w:space="0" w:color="BFBFBF"/>
            </w:tcBorders>
            <w:vAlign w:val="center"/>
          </w:tcPr>
          <w:p w14:paraId="3AEE92B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31AF82D6"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291911F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Convocatoria pública e institucional inicial</w:t>
            </w:r>
          </w:p>
        </w:tc>
        <w:tc>
          <w:tcPr>
            <w:tcW w:w="1700" w:type="dxa"/>
            <w:tcBorders>
              <w:top w:val="single" w:sz="4" w:space="0" w:color="BFBFBF"/>
              <w:left w:val="single" w:sz="4" w:space="0" w:color="BFBFBF"/>
              <w:bottom w:val="single" w:sz="4" w:space="0" w:color="BFBFBF"/>
              <w:right w:val="single" w:sz="4" w:space="0" w:color="BFBFBF"/>
            </w:tcBorders>
            <w:vAlign w:val="center"/>
          </w:tcPr>
          <w:p w14:paraId="41D28E7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Lanzamiento del proceso de políticas públicas</w:t>
            </w:r>
          </w:p>
        </w:tc>
        <w:tc>
          <w:tcPr>
            <w:tcW w:w="1750" w:type="dxa"/>
            <w:tcBorders>
              <w:top w:val="single" w:sz="4" w:space="0" w:color="BFBFBF"/>
              <w:left w:val="single" w:sz="4" w:space="0" w:color="BFBFBF"/>
              <w:bottom w:val="single" w:sz="4" w:space="0" w:color="BFBFBF"/>
              <w:right w:val="single" w:sz="4" w:space="0" w:color="BFBFBF"/>
            </w:tcBorders>
            <w:vAlign w:val="center"/>
          </w:tcPr>
          <w:p w14:paraId="45B12AE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Correo electrónico y evento presencial de lanzamiento</w:t>
            </w:r>
          </w:p>
        </w:tc>
        <w:tc>
          <w:tcPr>
            <w:tcW w:w="2271" w:type="dxa"/>
            <w:tcBorders>
              <w:top w:val="single" w:sz="4" w:space="0" w:color="BFBFBF"/>
              <w:left w:val="single" w:sz="4" w:space="0" w:color="BFBFBF"/>
              <w:bottom w:val="single" w:sz="4" w:space="0" w:color="BFBFBF"/>
              <w:right w:val="single" w:sz="4" w:space="0" w:color="BFBFBF"/>
            </w:tcBorders>
            <w:vAlign w:val="center"/>
          </w:tcPr>
          <w:p w14:paraId="38C6A89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Entidades públicas, academia, gremios, sector privado, control, financiero, constructoras y ciudadanía</w:t>
            </w:r>
          </w:p>
        </w:tc>
        <w:tc>
          <w:tcPr>
            <w:tcW w:w="900" w:type="dxa"/>
            <w:tcBorders>
              <w:top w:val="single" w:sz="4" w:space="0" w:color="BFBFBF"/>
              <w:left w:val="single" w:sz="4" w:space="0" w:color="BFBFBF"/>
              <w:bottom w:val="single" w:sz="4" w:space="0" w:color="BFBFBF"/>
              <w:right w:val="single" w:sz="4" w:space="0" w:color="BFBFBF"/>
            </w:tcBorders>
            <w:vAlign w:val="center"/>
          </w:tcPr>
          <w:p w14:paraId="383DB0A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3FC6546B"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53B291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Diseño metodológico</w:t>
            </w:r>
          </w:p>
        </w:tc>
        <w:tc>
          <w:tcPr>
            <w:tcW w:w="1700" w:type="dxa"/>
            <w:tcBorders>
              <w:top w:val="single" w:sz="4" w:space="0" w:color="BFBFBF"/>
              <w:left w:val="single" w:sz="4" w:space="0" w:color="BFBFBF"/>
              <w:bottom w:val="single" w:sz="4" w:space="0" w:color="BFBFBF"/>
              <w:right w:val="single" w:sz="4" w:space="0" w:color="BFBFBF"/>
            </w:tcBorders>
            <w:vAlign w:val="center"/>
          </w:tcPr>
          <w:p w14:paraId="39A4B0B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Ruta metodológica, plan de trabajo y enfoque</w:t>
            </w:r>
          </w:p>
        </w:tc>
        <w:tc>
          <w:tcPr>
            <w:tcW w:w="1750" w:type="dxa"/>
            <w:tcBorders>
              <w:top w:val="single" w:sz="4" w:space="0" w:color="BFBFBF"/>
              <w:left w:val="single" w:sz="4" w:space="0" w:color="BFBFBF"/>
              <w:bottom w:val="single" w:sz="4" w:space="0" w:color="BFBFBF"/>
              <w:right w:val="single" w:sz="4" w:space="0" w:color="BFBFBF"/>
            </w:tcBorders>
            <w:vAlign w:val="center"/>
          </w:tcPr>
          <w:p w14:paraId="7E1C80B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Presentación metodológica y reuniones de planeación</w:t>
            </w:r>
          </w:p>
        </w:tc>
        <w:tc>
          <w:tcPr>
            <w:tcW w:w="2271" w:type="dxa"/>
            <w:tcBorders>
              <w:top w:val="single" w:sz="4" w:space="0" w:color="BFBFBF"/>
              <w:left w:val="single" w:sz="4" w:space="0" w:color="BFBFBF"/>
              <w:bottom w:val="single" w:sz="4" w:space="0" w:color="BFBFBF"/>
              <w:right w:val="single" w:sz="4" w:space="0" w:color="BFBFBF"/>
            </w:tcBorders>
            <w:vAlign w:val="center"/>
          </w:tcPr>
          <w:p w14:paraId="2683190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Secretaría de Planeación, UPB, INVISBU</w:t>
            </w:r>
          </w:p>
        </w:tc>
        <w:tc>
          <w:tcPr>
            <w:tcW w:w="900" w:type="dxa"/>
            <w:tcBorders>
              <w:top w:val="single" w:sz="4" w:space="0" w:color="BFBFBF"/>
              <w:left w:val="single" w:sz="4" w:space="0" w:color="BFBFBF"/>
              <w:bottom w:val="single" w:sz="4" w:space="0" w:color="BFBFBF"/>
              <w:right w:val="single" w:sz="4" w:space="0" w:color="BFBFBF"/>
            </w:tcBorders>
            <w:vAlign w:val="center"/>
          </w:tcPr>
          <w:p w14:paraId="0E647AC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2818A57C"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6A174F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Identificación de actores</w:t>
            </w:r>
          </w:p>
        </w:tc>
        <w:tc>
          <w:tcPr>
            <w:tcW w:w="1700" w:type="dxa"/>
            <w:tcBorders>
              <w:top w:val="single" w:sz="4" w:space="0" w:color="BFBFBF"/>
              <w:left w:val="single" w:sz="4" w:space="0" w:color="BFBFBF"/>
              <w:bottom w:val="single" w:sz="4" w:space="0" w:color="BFBFBF"/>
              <w:right w:val="single" w:sz="4" w:space="0" w:color="BFBFBF"/>
            </w:tcBorders>
            <w:vAlign w:val="center"/>
          </w:tcPr>
          <w:p w14:paraId="6B104D3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Mapa de actores, niveles de interés e influencia</w:t>
            </w:r>
          </w:p>
        </w:tc>
        <w:tc>
          <w:tcPr>
            <w:tcW w:w="1750" w:type="dxa"/>
            <w:tcBorders>
              <w:top w:val="single" w:sz="4" w:space="0" w:color="BFBFBF"/>
              <w:left w:val="single" w:sz="4" w:space="0" w:color="BFBFBF"/>
              <w:bottom w:val="single" w:sz="4" w:space="0" w:color="BFBFBF"/>
              <w:right w:val="single" w:sz="4" w:space="0" w:color="BFBFBF"/>
            </w:tcBorders>
            <w:vAlign w:val="center"/>
          </w:tcPr>
          <w:p w14:paraId="6B6F26F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de mapeo y convocatoria directa por correo</w:t>
            </w:r>
          </w:p>
        </w:tc>
        <w:tc>
          <w:tcPr>
            <w:tcW w:w="2271" w:type="dxa"/>
            <w:tcBorders>
              <w:top w:val="single" w:sz="4" w:space="0" w:color="BFBFBF"/>
              <w:left w:val="single" w:sz="4" w:space="0" w:color="BFBFBF"/>
              <w:bottom w:val="single" w:sz="4" w:space="0" w:color="BFBFBF"/>
              <w:right w:val="single" w:sz="4" w:space="0" w:color="BFBFBF"/>
            </w:tcBorders>
            <w:vAlign w:val="center"/>
          </w:tcPr>
          <w:p w14:paraId="2237F3C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Entidades públicas, academia, gremios, actores privados, sociales y comunitarios</w:t>
            </w:r>
          </w:p>
        </w:tc>
        <w:tc>
          <w:tcPr>
            <w:tcW w:w="900" w:type="dxa"/>
            <w:tcBorders>
              <w:top w:val="single" w:sz="4" w:space="0" w:color="BFBFBF"/>
              <w:left w:val="single" w:sz="4" w:space="0" w:color="BFBFBF"/>
              <w:bottom w:val="single" w:sz="4" w:space="0" w:color="BFBFBF"/>
              <w:right w:val="single" w:sz="4" w:space="0" w:color="BFBFBF"/>
            </w:tcBorders>
            <w:vAlign w:val="center"/>
          </w:tcPr>
          <w:p w14:paraId="578F1B5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076D3AA9"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5491477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Identificación de actores y oferta institucional</w:t>
            </w:r>
          </w:p>
        </w:tc>
        <w:tc>
          <w:tcPr>
            <w:tcW w:w="1700" w:type="dxa"/>
            <w:tcBorders>
              <w:top w:val="single" w:sz="4" w:space="0" w:color="BFBFBF"/>
              <w:left w:val="single" w:sz="4" w:space="0" w:color="BFBFBF"/>
              <w:bottom w:val="single" w:sz="4" w:space="0" w:color="BFBFBF"/>
              <w:right w:val="single" w:sz="4" w:space="0" w:color="BFBFBF"/>
            </w:tcBorders>
            <w:vAlign w:val="center"/>
          </w:tcPr>
          <w:p w14:paraId="646F434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Mapa de actores, capacidades y oferta</w:t>
            </w:r>
          </w:p>
        </w:tc>
        <w:tc>
          <w:tcPr>
            <w:tcW w:w="1750" w:type="dxa"/>
            <w:tcBorders>
              <w:top w:val="single" w:sz="4" w:space="0" w:color="BFBFBF"/>
              <w:left w:val="single" w:sz="4" w:space="0" w:color="BFBFBF"/>
              <w:bottom w:val="single" w:sz="4" w:space="0" w:color="BFBFBF"/>
              <w:right w:val="single" w:sz="4" w:space="0" w:color="BFBFBF"/>
            </w:tcBorders>
            <w:vAlign w:val="center"/>
          </w:tcPr>
          <w:p w14:paraId="1B7594C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“Construimos Juntos”, formularios de inscripción y de oferta</w:t>
            </w:r>
          </w:p>
        </w:tc>
        <w:tc>
          <w:tcPr>
            <w:tcW w:w="2271" w:type="dxa"/>
            <w:tcBorders>
              <w:top w:val="single" w:sz="4" w:space="0" w:color="BFBFBF"/>
              <w:left w:val="single" w:sz="4" w:space="0" w:color="BFBFBF"/>
              <w:bottom w:val="single" w:sz="4" w:space="0" w:color="BFBFBF"/>
              <w:right w:val="single" w:sz="4" w:space="0" w:color="BFBFBF"/>
            </w:tcBorders>
            <w:vAlign w:val="center"/>
          </w:tcPr>
          <w:p w14:paraId="08D850F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INVISBU, Planeación, dependencias municipales, entidades metropolitanas, municipios vecinos, gremios, academia y control</w:t>
            </w:r>
          </w:p>
        </w:tc>
        <w:tc>
          <w:tcPr>
            <w:tcW w:w="900" w:type="dxa"/>
            <w:tcBorders>
              <w:top w:val="single" w:sz="4" w:space="0" w:color="BFBFBF"/>
              <w:left w:val="single" w:sz="4" w:space="0" w:color="BFBFBF"/>
              <w:bottom w:val="single" w:sz="4" w:space="0" w:color="BFBFBF"/>
              <w:right w:val="single" w:sz="4" w:space="0" w:color="BFBFBF"/>
            </w:tcBorders>
            <w:vAlign w:val="center"/>
          </w:tcPr>
          <w:p w14:paraId="6DA5A9B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484C4ABB"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0470231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Caracterización de actores privados</w:t>
            </w:r>
          </w:p>
        </w:tc>
        <w:tc>
          <w:tcPr>
            <w:tcW w:w="1700" w:type="dxa"/>
            <w:tcBorders>
              <w:top w:val="single" w:sz="4" w:space="0" w:color="BFBFBF"/>
              <w:left w:val="single" w:sz="4" w:space="0" w:color="BFBFBF"/>
              <w:bottom w:val="single" w:sz="4" w:space="0" w:color="BFBFBF"/>
              <w:right w:val="single" w:sz="4" w:space="0" w:color="BFBFBF"/>
            </w:tcBorders>
            <w:vAlign w:val="center"/>
          </w:tcPr>
          <w:p w14:paraId="5CFDE31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Información sobre constructoras y urbanizadores</w:t>
            </w:r>
          </w:p>
        </w:tc>
        <w:tc>
          <w:tcPr>
            <w:tcW w:w="1750" w:type="dxa"/>
            <w:tcBorders>
              <w:top w:val="single" w:sz="4" w:space="0" w:color="BFBFBF"/>
              <w:left w:val="single" w:sz="4" w:space="0" w:color="BFBFBF"/>
              <w:bottom w:val="single" w:sz="4" w:space="0" w:color="BFBFBF"/>
              <w:right w:val="single" w:sz="4" w:space="0" w:color="BFBFBF"/>
            </w:tcBorders>
            <w:vAlign w:val="center"/>
          </w:tcPr>
          <w:p w14:paraId="12FDF81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Solicitud formal a Curaduría Urbana No. 2 y revisión</w:t>
            </w:r>
          </w:p>
        </w:tc>
        <w:tc>
          <w:tcPr>
            <w:tcW w:w="2271" w:type="dxa"/>
            <w:tcBorders>
              <w:top w:val="single" w:sz="4" w:space="0" w:color="BFBFBF"/>
              <w:left w:val="single" w:sz="4" w:space="0" w:color="BFBFBF"/>
              <w:bottom w:val="single" w:sz="4" w:space="0" w:color="BFBFBF"/>
              <w:right w:val="single" w:sz="4" w:space="0" w:color="BFBFBF"/>
            </w:tcBorders>
            <w:vAlign w:val="center"/>
          </w:tcPr>
          <w:p w14:paraId="34238B8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Curaduría Urbana No. 2, sector constructor, CAMACOL y mercado urbano-habitacional</w:t>
            </w:r>
          </w:p>
        </w:tc>
        <w:tc>
          <w:tcPr>
            <w:tcW w:w="900" w:type="dxa"/>
            <w:tcBorders>
              <w:top w:val="single" w:sz="4" w:space="0" w:color="BFBFBF"/>
              <w:left w:val="single" w:sz="4" w:space="0" w:color="BFBFBF"/>
              <w:bottom w:val="single" w:sz="4" w:space="0" w:color="BFBFBF"/>
              <w:right w:val="single" w:sz="4" w:space="0" w:color="BFBFBF"/>
            </w:tcBorders>
            <w:vAlign w:val="center"/>
          </w:tcPr>
          <w:p w14:paraId="52ACBFF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6EBC3BBA"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1DBBB0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Diagnóstico documental</w:t>
            </w:r>
          </w:p>
        </w:tc>
        <w:tc>
          <w:tcPr>
            <w:tcW w:w="1700" w:type="dxa"/>
            <w:tcBorders>
              <w:top w:val="single" w:sz="4" w:space="0" w:color="BFBFBF"/>
              <w:left w:val="single" w:sz="4" w:space="0" w:color="BFBFBF"/>
              <w:bottom w:val="single" w:sz="4" w:space="0" w:color="BFBFBF"/>
              <w:right w:val="single" w:sz="4" w:space="0" w:color="BFBFBF"/>
            </w:tcBorders>
            <w:vAlign w:val="center"/>
          </w:tcPr>
          <w:p w14:paraId="55A2E63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Avances del diagnóstico técnico y sectorial</w:t>
            </w:r>
          </w:p>
        </w:tc>
        <w:tc>
          <w:tcPr>
            <w:tcW w:w="1750" w:type="dxa"/>
            <w:tcBorders>
              <w:top w:val="single" w:sz="4" w:space="0" w:color="BFBFBF"/>
              <w:left w:val="single" w:sz="4" w:space="0" w:color="BFBFBF"/>
              <w:bottom w:val="single" w:sz="4" w:space="0" w:color="BFBFBF"/>
              <w:right w:val="single" w:sz="4" w:space="0" w:color="BFBFBF"/>
            </w:tcBorders>
            <w:vAlign w:val="center"/>
          </w:tcPr>
          <w:p w14:paraId="6567A52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Revisión documental, mesas técnicas y análisis de fuentes</w:t>
            </w:r>
          </w:p>
        </w:tc>
        <w:tc>
          <w:tcPr>
            <w:tcW w:w="2271" w:type="dxa"/>
            <w:tcBorders>
              <w:top w:val="single" w:sz="4" w:space="0" w:color="BFBFBF"/>
              <w:left w:val="single" w:sz="4" w:space="0" w:color="BFBFBF"/>
              <w:bottom w:val="single" w:sz="4" w:space="0" w:color="BFBFBF"/>
              <w:right w:val="single" w:sz="4" w:space="0" w:color="BFBFBF"/>
            </w:tcBorders>
            <w:vAlign w:val="center"/>
          </w:tcPr>
          <w:p w14:paraId="5438823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UPB, INVISBU, AMB y equipo técnico</w:t>
            </w:r>
          </w:p>
        </w:tc>
        <w:tc>
          <w:tcPr>
            <w:tcW w:w="900" w:type="dxa"/>
            <w:tcBorders>
              <w:top w:val="single" w:sz="4" w:space="0" w:color="BFBFBF"/>
              <w:left w:val="single" w:sz="4" w:space="0" w:color="BFBFBF"/>
              <w:bottom w:val="single" w:sz="4" w:space="0" w:color="BFBFBF"/>
              <w:right w:val="single" w:sz="4" w:space="0" w:color="BFBFBF"/>
            </w:tcBorders>
            <w:vAlign w:val="center"/>
          </w:tcPr>
          <w:p w14:paraId="16E8742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 cierre técnico</w:t>
            </w:r>
          </w:p>
        </w:tc>
      </w:tr>
      <w:tr w:rsidR="00607E40" w14:paraId="247A9B70"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464C46A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Diagnóstico participativo</w:t>
            </w:r>
          </w:p>
        </w:tc>
        <w:tc>
          <w:tcPr>
            <w:tcW w:w="1700" w:type="dxa"/>
            <w:tcBorders>
              <w:top w:val="single" w:sz="4" w:space="0" w:color="BFBFBF"/>
              <w:left w:val="single" w:sz="4" w:space="0" w:color="BFBFBF"/>
              <w:bottom w:val="single" w:sz="4" w:space="0" w:color="BFBFBF"/>
              <w:right w:val="single" w:sz="4" w:space="0" w:color="BFBFBF"/>
            </w:tcBorders>
            <w:vAlign w:val="center"/>
          </w:tcPr>
          <w:p w14:paraId="774061A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Árbol de problemas, causas y factores de cambio</w:t>
            </w:r>
          </w:p>
        </w:tc>
        <w:tc>
          <w:tcPr>
            <w:tcW w:w="1750" w:type="dxa"/>
            <w:tcBorders>
              <w:top w:val="single" w:sz="4" w:space="0" w:color="BFBFBF"/>
              <w:left w:val="single" w:sz="4" w:space="0" w:color="BFBFBF"/>
              <w:bottom w:val="single" w:sz="4" w:space="0" w:color="BFBFBF"/>
              <w:right w:val="single" w:sz="4" w:space="0" w:color="BFBFBF"/>
            </w:tcBorders>
            <w:vAlign w:val="center"/>
          </w:tcPr>
          <w:p w14:paraId="7BEEC80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técnico-participativo de árbol de problemas</w:t>
            </w:r>
          </w:p>
        </w:tc>
        <w:tc>
          <w:tcPr>
            <w:tcW w:w="2271" w:type="dxa"/>
            <w:tcBorders>
              <w:top w:val="single" w:sz="4" w:space="0" w:color="BFBFBF"/>
              <w:left w:val="single" w:sz="4" w:space="0" w:color="BFBFBF"/>
              <w:bottom w:val="single" w:sz="4" w:space="0" w:color="BFBFBF"/>
              <w:right w:val="single" w:sz="4" w:space="0" w:color="BFBFBF"/>
            </w:tcBorders>
            <w:vAlign w:val="center"/>
          </w:tcPr>
          <w:p w14:paraId="127C099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INVISBU, UPB y equipo formulador</w:t>
            </w:r>
          </w:p>
        </w:tc>
        <w:tc>
          <w:tcPr>
            <w:tcW w:w="900" w:type="dxa"/>
            <w:tcBorders>
              <w:top w:val="single" w:sz="4" w:space="0" w:color="BFBFBF"/>
              <w:left w:val="single" w:sz="4" w:space="0" w:color="BFBFBF"/>
              <w:bottom w:val="single" w:sz="4" w:space="0" w:color="BFBFBF"/>
              <w:right w:val="single" w:sz="4" w:space="0" w:color="BFBFBF"/>
            </w:tcBorders>
            <w:vAlign w:val="center"/>
          </w:tcPr>
          <w:p w14:paraId="3B897C8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2CA3CAF8"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0EA9D61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lastRenderedPageBreak/>
              <w:t>Seguimiento institucional</w:t>
            </w:r>
          </w:p>
        </w:tc>
        <w:tc>
          <w:tcPr>
            <w:tcW w:w="1700" w:type="dxa"/>
            <w:tcBorders>
              <w:top w:val="single" w:sz="4" w:space="0" w:color="BFBFBF"/>
              <w:left w:val="single" w:sz="4" w:space="0" w:color="BFBFBF"/>
              <w:bottom w:val="single" w:sz="4" w:space="0" w:color="BFBFBF"/>
              <w:right w:val="single" w:sz="4" w:space="0" w:color="BFBFBF"/>
            </w:tcBorders>
            <w:vAlign w:val="center"/>
          </w:tcPr>
          <w:p w14:paraId="2487890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Avances y retos del proceso</w:t>
            </w:r>
          </w:p>
        </w:tc>
        <w:tc>
          <w:tcPr>
            <w:tcW w:w="1750" w:type="dxa"/>
            <w:tcBorders>
              <w:top w:val="single" w:sz="4" w:space="0" w:color="BFBFBF"/>
              <w:left w:val="single" w:sz="4" w:space="0" w:color="BFBFBF"/>
              <w:bottom w:val="single" w:sz="4" w:space="0" w:color="BFBFBF"/>
              <w:right w:val="single" w:sz="4" w:space="0" w:color="BFBFBF"/>
            </w:tcBorders>
            <w:vAlign w:val="center"/>
          </w:tcPr>
          <w:p w14:paraId="7EA176E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de seguimiento y evaluación de políticas públicas</w:t>
            </w:r>
          </w:p>
        </w:tc>
        <w:tc>
          <w:tcPr>
            <w:tcW w:w="2271" w:type="dxa"/>
            <w:tcBorders>
              <w:top w:val="single" w:sz="4" w:space="0" w:color="BFBFBF"/>
              <w:left w:val="single" w:sz="4" w:space="0" w:color="BFBFBF"/>
              <w:bottom w:val="single" w:sz="4" w:space="0" w:color="BFBFBF"/>
              <w:right w:val="single" w:sz="4" w:space="0" w:color="BFBFBF"/>
            </w:tcBorders>
            <w:vAlign w:val="center"/>
          </w:tcPr>
          <w:p w14:paraId="135AC10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Equipos de políticas públicas, entidades municipales e institucionales</w:t>
            </w:r>
          </w:p>
        </w:tc>
        <w:tc>
          <w:tcPr>
            <w:tcW w:w="900" w:type="dxa"/>
            <w:tcBorders>
              <w:top w:val="single" w:sz="4" w:space="0" w:color="BFBFBF"/>
              <w:left w:val="single" w:sz="4" w:space="0" w:color="BFBFBF"/>
              <w:bottom w:val="single" w:sz="4" w:space="0" w:color="BFBFBF"/>
              <w:right w:val="single" w:sz="4" w:space="0" w:color="BFBFBF"/>
            </w:tcBorders>
            <w:vAlign w:val="center"/>
          </w:tcPr>
          <w:p w14:paraId="1BABE60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2716E897"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22AE69A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Prospectiva</w:t>
            </w:r>
          </w:p>
        </w:tc>
        <w:tc>
          <w:tcPr>
            <w:tcW w:w="1700" w:type="dxa"/>
            <w:tcBorders>
              <w:top w:val="single" w:sz="4" w:space="0" w:color="BFBFBF"/>
              <w:left w:val="single" w:sz="4" w:space="0" w:color="BFBFBF"/>
              <w:bottom w:val="single" w:sz="4" w:space="0" w:color="BFBFBF"/>
              <w:right w:val="single" w:sz="4" w:space="0" w:color="BFBFBF"/>
            </w:tcBorders>
            <w:vAlign w:val="center"/>
          </w:tcPr>
          <w:p w14:paraId="18190D0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Escenarios prospectivos y factores de cambio</w:t>
            </w:r>
          </w:p>
        </w:tc>
        <w:tc>
          <w:tcPr>
            <w:tcW w:w="1750" w:type="dxa"/>
            <w:tcBorders>
              <w:top w:val="single" w:sz="4" w:space="0" w:color="BFBFBF"/>
              <w:left w:val="single" w:sz="4" w:space="0" w:color="BFBFBF"/>
              <w:bottom w:val="single" w:sz="4" w:space="0" w:color="BFBFBF"/>
              <w:right w:val="single" w:sz="4" w:space="0" w:color="BFBFBF"/>
            </w:tcBorders>
            <w:vAlign w:val="center"/>
          </w:tcPr>
          <w:p w14:paraId="1415B71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institucional de construcción de escenarios</w:t>
            </w:r>
          </w:p>
        </w:tc>
        <w:tc>
          <w:tcPr>
            <w:tcW w:w="2271" w:type="dxa"/>
            <w:tcBorders>
              <w:top w:val="single" w:sz="4" w:space="0" w:color="BFBFBF"/>
              <w:left w:val="single" w:sz="4" w:space="0" w:color="BFBFBF"/>
              <w:bottom w:val="single" w:sz="4" w:space="0" w:color="BFBFBF"/>
              <w:right w:val="single" w:sz="4" w:space="0" w:color="BFBFBF"/>
            </w:tcBorders>
            <w:vAlign w:val="center"/>
          </w:tcPr>
          <w:p w14:paraId="201C9B6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INVISBU, UPB y equipo técnico</w:t>
            </w:r>
          </w:p>
        </w:tc>
        <w:tc>
          <w:tcPr>
            <w:tcW w:w="900" w:type="dxa"/>
            <w:tcBorders>
              <w:top w:val="single" w:sz="4" w:space="0" w:color="BFBFBF"/>
              <w:left w:val="single" w:sz="4" w:space="0" w:color="BFBFBF"/>
              <w:bottom w:val="single" w:sz="4" w:space="0" w:color="BFBFBF"/>
              <w:right w:val="single" w:sz="4" w:space="0" w:color="BFBFBF"/>
            </w:tcBorders>
            <w:vAlign w:val="center"/>
          </w:tcPr>
          <w:p w14:paraId="0482C04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399C27A6"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4E5B44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Validación prospectiva</w:t>
            </w:r>
          </w:p>
        </w:tc>
        <w:tc>
          <w:tcPr>
            <w:tcW w:w="1700" w:type="dxa"/>
            <w:tcBorders>
              <w:top w:val="single" w:sz="4" w:space="0" w:color="BFBFBF"/>
              <w:left w:val="single" w:sz="4" w:space="0" w:color="BFBFBF"/>
              <w:bottom w:val="single" w:sz="4" w:space="0" w:color="BFBFBF"/>
              <w:right w:val="single" w:sz="4" w:space="0" w:color="BFBFBF"/>
            </w:tcBorders>
            <w:vAlign w:val="center"/>
          </w:tcPr>
          <w:p w14:paraId="6B43112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Escenarios formulados y escenario deseado</w:t>
            </w:r>
          </w:p>
        </w:tc>
        <w:tc>
          <w:tcPr>
            <w:tcW w:w="1750" w:type="dxa"/>
            <w:tcBorders>
              <w:top w:val="single" w:sz="4" w:space="0" w:color="BFBFBF"/>
              <w:left w:val="single" w:sz="4" w:space="0" w:color="BFBFBF"/>
              <w:bottom w:val="single" w:sz="4" w:space="0" w:color="BFBFBF"/>
              <w:right w:val="single" w:sz="4" w:space="0" w:color="BFBFBF"/>
            </w:tcBorders>
            <w:vAlign w:val="center"/>
          </w:tcPr>
          <w:p w14:paraId="06F669A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de validación de escenarios, previa convocatoria pública y directa</w:t>
            </w:r>
          </w:p>
        </w:tc>
        <w:tc>
          <w:tcPr>
            <w:tcW w:w="2271" w:type="dxa"/>
            <w:tcBorders>
              <w:top w:val="single" w:sz="4" w:space="0" w:color="BFBFBF"/>
              <w:left w:val="single" w:sz="4" w:space="0" w:color="BFBFBF"/>
              <w:bottom w:val="single" w:sz="4" w:space="0" w:color="BFBFBF"/>
              <w:right w:val="single" w:sz="4" w:space="0" w:color="BFBFBF"/>
            </w:tcBorders>
            <w:vAlign w:val="center"/>
          </w:tcPr>
          <w:p w14:paraId="363EF23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Desarrollo Social, UMGRD, SNR, AMB, Secretaría del Interior, Defensoría, U. Santo Tomás, CAMACOL, prensa, comunidad y privados</w:t>
            </w:r>
          </w:p>
        </w:tc>
        <w:tc>
          <w:tcPr>
            <w:tcW w:w="900" w:type="dxa"/>
            <w:tcBorders>
              <w:top w:val="single" w:sz="4" w:space="0" w:color="BFBFBF"/>
              <w:left w:val="single" w:sz="4" w:space="0" w:color="BFBFBF"/>
              <w:bottom w:val="single" w:sz="4" w:space="0" w:color="BFBFBF"/>
              <w:right w:val="single" w:sz="4" w:space="0" w:color="BFBFBF"/>
            </w:tcBorders>
            <w:vAlign w:val="center"/>
          </w:tcPr>
          <w:p w14:paraId="27DF390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13EBF5F6"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6A9DE2D"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Validación prospectiva posterior</w:t>
            </w:r>
          </w:p>
        </w:tc>
        <w:tc>
          <w:tcPr>
            <w:tcW w:w="1700" w:type="dxa"/>
            <w:tcBorders>
              <w:top w:val="single" w:sz="4" w:space="0" w:color="BFBFBF"/>
              <w:left w:val="single" w:sz="4" w:space="0" w:color="BFBFBF"/>
              <w:bottom w:val="single" w:sz="4" w:space="0" w:color="BFBFBF"/>
              <w:right w:val="single" w:sz="4" w:space="0" w:color="BFBFBF"/>
            </w:tcBorders>
            <w:vAlign w:val="center"/>
          </w:tcPr>
          <w:p w14:paraId="2DBD3A2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Escenario tendencial y aportes ciudadanos</w:t>
            </w:r>
          </w:p>
        </w:tc>
        <w:tc>
          <w:tcPr>
            <w:tcW w:w="1750" w:type="dxa"/>
            <w:tcBorders>
              <w:top w:val="single" w:sz="4" w:space="0" w:color="BFBFBF"/>
              <w:left w:val="single" w:sz="4" w:space="0" w:color="BFBFBF"/>
              <w:bottom w:val="single" w:sz="4" w:space="0" w:color="BFBFBF"/>
              <w:right w:val="single" w:sz="4" w:space="0" w:color="BFBFBF"/>
            </w:tcBorders>
            <w:vAlign w:val="center"/>
          </w:tcPr>
          <w:p w14:paraId="4F6C5018" w14:textId="7CE01916"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Remisión de formulario posterior al taller</w:t>
            </w:r>
          </w:p>
        </w:tc>
        <w:tc>
          <w:tcPr>
            <w:tcW w:w="2271" w:type="dxa"/>
            <w:tcBorders>
              <w:top w:val="single" w:sz="4" w:space="0" w:color="BFBFBF"/>
              <w:left w:val="single" w:sz="4" w:space="0" w:color="BFBFBF"/>
              <w:bottom w:val="single" w:sz="4" w:space="0" w:color="BFBFBF"/>
              <w:right w:val="single" w:sz="4" w:space="0" w:color="BFBFBF"/>
            </w:tcBorders>
            <w:vAlign w:val="center"/>
          </w:tcPr>
          <w:p w14:paraId="09497A7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Actores participantes, AMB, Defensoría, U. Santo Tomás, comunidad y sector privado</w:t>
            </w:r>
          </w:p>
        </w:tc>
        <w:tc>
          <w:tcPr>
            <w:tcW w:w="900" w:type="dxa"/>
            <w:tcBorders>
              <w:top w:val="single" w:sz="4" w:space="0" w:color="BFBFBF"/>
              <w:left w:val="single" w:sz="4" w:space="0" w:color="BFBFBF"/>
              <w:bottom w:val="single" w:sz="4" w:space="0" w:color="BFBFBF"/>
              <w:right w:val="single" w:sz="4" w:space="0" w:color="BFBFBF"/>
            </w:tcBorders>
            <w:vAlign w:val="center"/>
          </w:tcPr>
          <w:p w14:paraId="62EC079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158449D9"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5E47AA7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Componente estratégico preliminar</w:t>
            </w:r>
          </w:p>
        </w:tc>
        <w:tc>
          <w:tcPr>
            <w:tcW w:w="1700" w:type="dxa"/>
            <w:tcBorders>
              <w:top w:val="single" w:sz="4" w:space="0" w:color="BFBFBF"/>
              <w:left w:val="single" w:sz="4" w:space="0" w:color="BFBFBF"/>
              <w:bottom w:val="single" w:sz="4" w:space="0" w:color="BFBFBF"/>
              <w:right w:val="single" w:sz="4" w:space="0" w:color="BFBFBF"/>
            </w:tcBorders>
            <w:vAlign w:val="center"/>
          </w:tcPr>
          <w:p w14:paraId="7E649297"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Ejes, líneas, acciones, metas e indicadores</w:t>
            </w:r>
          </w:p>
        </w:tc>
        <w:tc>
          <w:tcPr>
            <w:tcW w:w="1750" w:type="dxa"/>
            <w:tcBorders>
              <w:top w:val="single" w:sz="4" w:space="0" w:color="BFBFBF"/>
              <w:left w:val="single" w:sz="4" w:space="0" w:color="BFBFBF"/>
              <w:bottom w:val="single" w:sz="4" w:space="0" w:color="BFBFBF"/>
              <w:right w:val="single" w:sz="4" w:space="0" w:color="BFBFBF"/>
            </w:tcBorders>
            <w:vAlign w:val="center"/>
          </w:tcPr>
          <w:p w14:paraId="73589D7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Talleres internos e interinstitucionales del plan estratégico</w:t>
            </w:r>
          </w:p>
        </w:tc>
        <w:tc>
          <w:tcPr>
            <w:tcW w:w="2271" w:type="dxa"/>
            <w:tcBorders>
              <w:top w:val="single" w:sz="4" w:space="0" w:color="BFBFBF"/>
              <w:left w:val="single" w:sz="4" w:space="0" w:color="BFBFBF"/>
              <w:bottom w:val="single" w:sz="4" w:space="0" w:color="BFBFBF"/>
              <w:right w:val="single" w:sz="4" w:space="0" w:color="BFBFBF"/>
            </w:tcBorders>
            <w:vAlign w:val="center"/>
          </w:tcPr>
          <w:p w14:paraId="299EE7A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UPB, INVISBU</w:t>
            </w:r>
          </w:p>
        </w:tc>
        <w:tc>
          <w:tcPr>
            <w:tcW w:w="900" w:type="dxa"/>
            <w:tcBorders>
              <w:top w:val="single" w:sz="4" w:space="0" w:color="BFBFBF"/>
              <w:left w:val="single" w:sz="4" w:space="0" w:color="BFBFBF"/>
              <w:bottom w:val="single" w:sz="4" w:space="0" w:color="BFBFBF"/>
              <w:right w:val="single" w:sz="4" w:space="0" w:color="BFBFBF"/>
            </w:tcBorders>
            <w:vAlign w:val="center"/>
          </w:tcPr>
          <w:p w14:paraId="502AD042"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4341A978"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0F11C37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Divulgación académica</w:t>
            </w:r>
          </w:p>
        </w:tc>
        <w:tc>
          <w:tcPr>
            <w:tcW w:w="1700" w:type="dxa"/>
            <w:tcBorders>
              <w:top w:val="single" w:sz="4" w:space="0" w:color="BFBFBF"/>
              <w:left w:val="single" w:sz="4" w:space="0" w:color="BFBFBF"/>
              <w:bottom w:val="single" w:sz="4" w:space="0" w:color="BFBFBF"/>
              <w:right w:val="single" w:sz="4" w:space="0" w:color="BFBFBF"/>
            </w:tcBorders>
            <w:vAlign w:val="center"/>
          </w:tcPr>
          <w:p w14:paraId="378406C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Retos de territorio, vivienda y políticas públicas</w:t>
            </w:r>
          </w:p>
        </w:tc>
        <w:tc>
          <w:tcPr>
            <w:tcW w:w="1750" w:type="dxa"/>
            <w:tcBorders>
              <w:top w:val="single" w:sz="4" w:space="0" w:color="BFBFBF"/>
              <w:left w:val="single" w:sz="4" w:space="0" w:color="BFBFBF"/>
              <w:bottom w:val="single" w:sz="4" w:space="0" w:color="BFBFBF"/>
              <w:right w:val="single" w:sz="4" w:space="0" w:color="BFBFBF"/>
            </w:tcBorders>
            <w:vAlign w:val="center"/>
          </w:tcPr>
          <w:p w14:paraId="5F046DEF"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Webinar “Territorio y Vivienda”</w:t>
            </w:r>
          </w:p>
        </w:tc>
        <w:tc>
          <w:tcPr>
            <w:tcW w:w="2271" w:type="dxa"/>
            <w:tcBorders>
              <w:top w:val="single" w:sz="4" w:space="0" w:color="BFBFBF"/>
              <w:left w:val="single" w:sz="4" w:space="0" w:color="BFBFBF"/>
              <w:bottom w:val="single" w:sz="4" w:space="0" w:color="BFBFBF"/>
              <w:right w:val="single" w:sz="4" w:space="0" w:color="BFBFBF"/>
            </w:tcBorders>
            <w:vAlign w:val="center"/>
          </w:tcPr>
          <w:p w14:paraId="47FA56C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Academia, ciudadanía, actores institucionales y público</w:t>
            </w:r>
          </w:p>
        </w:tc>
        <w:tc>
          <w:tcPr>
            <w:tcW w:w="900" w:type="dxa"/>
            <w:tcBorders>
              <w:top w:val="single" w:sz="4" w:space="0" w:color="BFBFBF"/>
              <w:left w:val="single" w:sz="4" w:space="0" w:color="BFBFBF"/>
              <w:bottom w:val="single" w:sz="4" w:space="0" w:color="BFBFBF"/>
              <w:right w:val="single" w:sz="4" w:space="0" w:color="BFBFBF"/>
            </w:tcBorders>
            <w:vAlign w:val="center"/>
          </w:tcPr>
          <w:p w14:paraId="69DFA17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3C29A8C9"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490F41A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Encuesta ciudadana</w:t>
            </w:r>
          </w:p>
        </w:tc>
        <w:tc>
          <w:tcPr>
            <w:tcW w:w="1700" w:type="dxa"/>
            <w:tcBorders>
              <w:top w:val="single" w:sz="4" w:space="0" w:color="BFBFBF"/>
              <w:left w:val="single" w:sz="4" w:space="0" w:color="BFBFBF"/>
              <w:bottom w:val="single" w:sz="4" w:space="0" w:color="BFBFBF"/>
              <w:right w:val="single" w:sz="4" w:space="0" w:color="BFBFBF"/>
            </w:tcBorders>
            <w:vAlign w:val="center"/>
          </w:tcPr>
          <w:p w14:paraId="6955799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Instrumento de encuesta y diagnóstico perceptivo</w:t>
            </w:r>
          </w:p>
        </w:tc>
        <w:tc>
          <w:tcPr>
            <w:tcW w:w="1750" w:type="dxa"/>
            <w:tcBorders>
              <w:top w:val="single" w:sz="4" w:space="0" w:color="BFBFBF"/>
              <w:left w:val="single" w:sz="4" w:space="0" w:color="BFBFBF"/>
              <w:bottom w:val="single" w:sz="4" w:space="0" w:color="BFBFBF"/>
              <w:right w:val="single" w:sz="4" w:space="0" w:color="BFBFBF"/>
            </w:tcBorders>
            <w:vAlign w:val="center"/>
          </w:tcPr>
          <w:p w14:paraId="0F26168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virtual de estructuración y publicación con QR</w:t>
            </w:r>
          </w:p>
        </w:tc>
        <w:tc>
          <w:tcPr>
            <w:tcW w:w="2271" w:type="dxa"/>
            <w:tcBorders>
              <w:top w:val="single" w:sz="4" w:space="0" w:color="BFBFBF"/>
              <w:left w:val="single" w:sz="4" w:space="0" w:color="BFBFBF"/>
              <w:bottom w:val="single" w:sz="4" w:space="0" w:color="BFBFBF"/>
              <w:right w:val="single" w:sz="4" w:space="0" w:color="BFBFBF"/>
            </w:tcBorders>
            <w:vAlign w:val="center"/>
          </w:tcPr>
          <w:p w14:paraId="433B2B3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UPB, INVISBU y ciudadanía</w:t>
            </w:r>
          </w:p>
        </w:tc>
        <w:tc>
          <w:tcPr>
            <w:tcW w:w="900" w:type="dxa"/>
            <w:tcBorders>
              <w:top w:val="single" w:sz="4" w:space="0" w:color="BFBFBF"/>
              <w:left w:val="single" w:sz="4" w:space="0" w:color="BFBFBF"/>
              <w:bottom w:val="single" w:sz="4" w:space="0" w:color="BFBFBF"/>
              <w:right w:val="single" w:sz="4" w:space="0" w:color="BFBFBF"/>
            </w:tcBorders>
            <w:vAlign w:val="center"/>
          </w:tcPr>
          <w:p w14:paraId="4FF66FBE"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6AA210D9"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253CFBE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Revisión del componente estratégico y presupuesto</w:t>
            </w:r>
          </w:p>
        </w:tc>
        <w:tc>
          <w:tcPr>
            <w:tcW w:w="1700" w:type="dxa"/>
            <w:tcBorders>
              <w:top w:val="single" w:sz="4" w:space="0" w:color="BFBFBF"/>
              <w:left w:val="single" w:sz="4" w:space="0" w:color="BFBFBF"/>
              <w:bottom w:val="single" w:sz="4" w:space="0" w:color="BFBFBF"/>
              <w:right w:val="single" w:sz="4" w:space="0" w:color="BFBFBF"/>
            </w:tcBorders>
            <w:vAlign w:val="center"/>
          </w:tcPr>
          <w:p w14:paraId="2F991221"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Matriz estratégica y presupuesto indicativo</w:t>
            </w:r>
          </w:p>
        </w:tc>
        <w:tc>
          <w:tcPr>
            <w:tcW w:w="1750" w:type="dxa"/>
            <w:tcBorders>
              <w:top w:val="single" w:sz="4" w:space="0" w:color="BFBFBF"/>
              <w:left w:val="single" w:sz="4" w:space="0" w:color="BFBFBF"/>
              <w:bottom w:val="single" w:sz="4" w:space="0" w:color="BFBFBF"/>
              <w:right w:val="single" w:sz="4" w:space="0" w:color="BFBFBF"/>
            </w:tcBorders>
            <w:vAlign w:val="center"/>
          </w:tcPr>
          <w:p w14:paraId="1E5958D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de revisión técnica con INVISBU</w:t>
            </w:r>
          </w:p>
        </w:tc>
        <w:tc>
          <w:tcPr>
            <w:tcW w:w="2271" w:type="dxa"/>
            <w:tcBorders>
              <w:top w:val="single" w:sz="4" w:space="0" w:color="BFBFBF"/>
              <w:left w:val="single" w:sz="4" w:space="0" w:color="BFBFBF"/>
              <w:bottom w:val="single" w:sz="4" w:space="0" w:color="BFBFBF"/>
              <w:right w:val="single" w:sz="4" w:space="0" w:color="BFBFBF"/>
            </w:tcBorders>
            <w:vAlign w:val="center"/>
          </w:tcPr>
          <w:p w14:paraId="64B17283"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Planeación, INVISBU, UPB y equipo formulador</w:t>
            </w:r>
          </w:p>
        </w:tc>
        <w:tc>
          <w:tcPr>
            <w:tcW w:w="900" w:type="dxa"/>
            <w:tcBorders>
              <w:top w:val="single" w:sz="4" w:space="0" w:color="BFBFBF"/>
              <w:left w:val="single" w:sz="4" w:space="0" w:color="BFBFBF"/>
              <w:bottom w:val="single" w:sz="4" w:space="0" w:color="BFBFBF"/>
              <w:right w:val="single" w:sz="4" w:space="0" w:color="BFBFBF"/>
            </w:tcBorders>
            <w:vAlign w:val="center"/>
          </w:tcPr>
          <w:p w14:paraId="0682FFF5"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 ajuste</w:t>
            </w:r>
          </w:p>
        </w:tc>
      </w:tr>
      <w:tr w:rsidR="00607E40" w14:paraId="68271035"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666D5389"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Socialización sectorial</w:t>
            </w:r>
          </w:p>
        </w:tc>
        <w:tc>
          <w:tcPr>
            <w:tcW w:w="1700" w:type="dxa"/>
            <w:tcBorders>
              <w:top w:val="single" w:sz="4" w:space="0" w:color="BFBFBF"/>
              <w:left w:val="single" w:sz="4" w:space="0" w:color="BFBFBF"/>
              <w:bottom w:val="single" w:sz="4" w:space="0" w:color="BFBFBF"/>
              <w:right w:val="single" w:sz="4" w:space="0" w:color="BFBFBF"/>
            </w:tcBorders>
            <w:vAlign w:val="center"/>
          </w:tcPr>
          <w:p w14:paraId="0B2A8E8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Diagnóstico, contexto y plan de acción preliminar</w:t>
            </w:r>
          </w:p>
        </w:tc>
        <w:tc>
          <w:tcPr>
            <w:tcW w:w="1750" w:type="dxa"/>
            <w:tcBorders>
              <w:top w:val="single" w:sz="4" w:space="0" w:color="BFBFBF"/>
              <w:left w:val="single" w:sz="4" w:space="0" w:color="BFBFBF"/>
              <w:bottom w:val="single" w:sz="4" w:space="0" w:color="BFBFBF"/>
              <w:right w:val="single" w:sz="4" w:space="0" w:color="BFBFBF"/>
            </w:tcBorders>
            <w:vAlign w:val="center"/>
          </w:tcPr>
          <w:p w14:paraId="7AAAB02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Taller con gremios “Construyendo Hábitat”</w:t>
            </w:r>
          </w:p>
        </w:tc>
        <w:tc>
          <w:tcPr>
            <w:tcW w:w="2271" w:type="dxa"/>
            <w:tcBorders>
              <w:top w:val="single" w:sz="4" w:space="0" w:color="BFBFBF"/>
              <w:left w:val="single" w:sz="4" w:space="0" w:color="BFBFBF"/>
              <w:bottom w:val="single" w:sz="4" w:space="0" w:color="BFBFBF"/>
              <w:right w:val="single" w:sz="4" w:space="0" w:color="BFBFBF"/>
            </w:tcBorders>
            <w:vAlign w:val="center"/>
          </w:tcPr>
          <w:p w14:paraId="0133A8B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CAMACOL, SCA Santander, actores privados, ciudadanía, Planeación e INVISBU</w:t>
            </w:r>
          </w:p>
        </w:tc>
        <w:tc>
          <w:tcPr>
            <w:tcW w:w="900" w:type="dxa"/>
            <w:tcBorders>
              <w:top w:val="single" w:sz="4" w:space="0" w:color="BFBFBF"/>
              <w:left w:val="single" w:sz="4" w:space="0" w:color="BFBFBF"/>
              <w:bottom w:val="single" w:sz="4" w:space="0" w:color="BFBFBF"/>
              <w:right w:val="single" w:sz="4" w:space="0" w:color="BFBFBF"/>
            </w:tcBorders>
            <w:vAlign w:val="center"/>
          </w:tcPr>
          <w:p w14:paraId="35DC86A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Surtido</w:t>
            </w:r>
          </w:p>
        </w:tc>
      </w:tr>
      <w:tr w:rsidR="00607E40" w14:paraId="4F57DAFE"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DA5AE80"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Revisión técnica externa</w:t>
            </w:r>
          </w:p>
        </w:tc>
        <w:tc>
          <w:tcPr>
            <w:tcW w:w="1700" w:type="dxa"/>
            <w:tcBorders>
              <w:top w:val="single" w:sz="4" w:space="0" w:color="BFBFBF"/>
              <w:left w:val="single" w:sz="4" w:space="0" w:color="BFBFBF"/>
              <w:bottom w:val="single" w:sz="4" w:space="0" w:color="BFBFBF"/>
              <w:right w:val="single" w:sz="4" w:space="0" w:color="BFBFBF"/>
            </w:tcBorders>
            <w:vAlign w:val="center"/>
          </w:tcPr>
          <w:p w14:paraId="182437E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Plan Estratégico Indicativo</w:t>
            </w:r>
          </w:p>
        </w:tc>
        <w:tc>
          <w:tcPr>
            <w:tcW w:w="1750" w:type="dxa"/>
            <w:tcBorders>
              <w:top w:val="single" w:sz="4" w:space="0" w:color="BFBFBF"/>
              <w:left w:val="single" w:sz="4" w:space="0" w:color="BFBFBF"/>
              <w:bottom w:val="single" w:sz="4" w:space="0" w:color="BFBFBF"/>
              <w:right w:val="single" w:sz="4" w:space="0" w:color="BFBFBF"/>
            </w:tcBorders>
            <w:vAlign w:val="center"/>
          </w:tcPr>
          <w:p w14:paraId="40812C66" w14:textId="0D29E6B2"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Remisión formal a CAMACOL Santander (29 de mayo de 2026)</w:t>
            </w:r>
          </w:p>
        </w:tc>
        <w:tc>
          <w:tcPr>
            <w:tcW w:w="2271" w:type="dxa"/>
            <w:tcBorders>
              <w:top w:val="single" w:sz="4" w:space="0" w:color="BFBFBF"/>
              <w:left w:val="single" w:sz="4" w:space="0" w:color="BFBFBF"/>
              <w:bottom w:val="single" w:sz="4" w:space="0" w:color="BFBFBF"/>
              <w:right w:val="single" w:sz="4" w:space="0" w:color="BFBFBF"/>
            </w:tcBorders>
            <w:vAlign w:val="center"/>
          </w:tcPr>
          <w:p w14:paraId="36912796"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CAMACOL Santander y sector constructor</w:t>
            </w:r>
          </w:p>
        </w:tc>
        <w:tc>
          <w:tcPr>
            <w:tcW w:w="900" w:type="dxa"/>
            <w:tcBorders>
              <w:top w:val="single" w:sz="4" w:space="0" w:color="BFBFBF"/>
              <w:left w:val="single" w:sz="4" w:space="0" w:color="BFBFBF"/>
              <w:bottom w:val="single" w:sz="4" w:space="0" w:color="BFBFBF"/>
              <w:right w:val="single" w:sz="4" w:space="0" w:color="BFBFBF"/>
            </w:tcBorders>
            <w:vAlign w:val="center"/>
          </w:tcPr>
          <w:p w14:paraId="79A879D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En retroalimentación</w:t>
            </w:r>
          </w:p>
        </w:tc>
      </w:tr>
      <w:tr w:rsidR="00607E40" w14:paraId="7C7BCDE5"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787915A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Divulgación y transparencia</w:t>
            </w:r>
          </w:p>
        </w:tc>
        <w:tc>
          <w:tcPr>
            <w:tcW w:w="1700" w:type="dxa"/>
            <w:tcBorders>
              <w:top w:val="single" w:sz="4" w:space="0" w:color="BFBFBF"/>
              <w:left w:val="single" w:sz="4" w:space="0" w:color="BFBFBF"/>
              <w:bottom w:val="single" w:sz="4" w:space="0" w:color="BFBFBF"/>
              <w:right w:val="single" w:sz="4" w:space="0" w:color="BFBFBF"/>
            </w:tcBorders>
            <w:vAlign w:val="center"/>
          </w:tcPr>
          <w:p w14:paraId="5841215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Convocatorias, piezas, videos y avances</w:t>
            </w:r>
          </w:p>
        </w:tc>
        <w:tc>
          <w:tcPr>
            <w:tcW w:w="1750" w:type="dxa"/>
            <w:tcBorders>
              <w:top w:val="single" w:sz="4" w:space="0" w:color="BFBFBF"/>
              <w:left w:val="single" w:sz="4" w:space="0" w:color="BFBFBF"/>
              <w:bottom w:val="single" w:sz="4" w:space="0" w:color="BFBFBF"/>
              <w:right w:val="single" w:sz="4" w:space="0" w:color="BFBFBF"/>
            </w:tcBorders>
            <w:vAlign w:val="center"/>
          </w:tcPr>
          <w:p w14:paraId="55A8760C" w14:textId="05F2797E"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Publicaciones institucionales en canales oficiales</w:t>
            </w:r>
          </w:p>
        </w:tc>
        <w:tc>
          <w:tcPr>
            <w:tcW w:w="2271" w:type="dxa"/>
            <w:tcBorders>
              <w:top w:val="single" w:sz="4" w:space="0" w:color="BFBFBF"/>
              <w:left w:val="single" w:sz="4" w:space="0" w:color="BFBFBF"/>
              <w:bottom w:val="single" w:sz="4" w:space="0" w:color="BFBFBF"/>
              <w:right w:val="single" w:sz="4" w:space="0" w:color="BFBFBF"/>
            </w:tcBorders>
            <w:vAlign w:val="center"/>
          </w:tcPr>
          <w:p w14:paraId="3AC57EBB"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Ciudadanía, gremios, academia, entidades públicas y comunidad</w:t>
            </w:r>
          </w:p>
        </w:tc>
        <w:tc>
          <w:tcPr>
            <w:tcW w:w="900" w:type="dxa"/>
            <w:tcBorders>
              <w:top w:val="single" w:sz="4" w:space="0" w:color="BFBFBF"/>
              <w:left w:val="single" w:sz="4" w:space="0" w:color="BFBFBF"/>
              <w:bottom w:val="single" w:sz="4" w:space="0" w:color="BFBFBF"/>
              <w:right w:val="single" w:sz="4" w:space="0" w:color="BFBFBF"/>
            </w:tcBorders>
            <w:vAlign w:val="center"/>
          </w:tcPr>
          <w:p w14:paraId="459B93A4"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Permanente</w:t>
            </w:r>
          </w:p>
        </w:tc>
      </w:tr>
      <w:tr w:rsidR="00607E40" w14:paraId="42AF207F" w14:textId="77777777">
        <w:trPr>
          <w:jc w:val="center"/>
        </w:trPr>
        <w:tc>
          <w:tcPr>
            <w:tcW w:w="1650" w:type="dxa"/>
            <w:tcBorders>
              <w:top w:val="single" w:sz="4" w:space="0" w:color="BFBFBF"/>
              <w:left w:val="single" w:sz="4" w:space="0" w:color="BFBFBF"/>
              <w:bottom w:val="single" w:sz="4" w:space="0" w:color="BFBFBF"/>
              <w:right w:val="single" w:sz="4" w:space="0" w:color="BFBFBF"/>
            </w:tcBorders>
            <w:vAlign w:val="center"/>
          </w:tcPr>
          <w:p w14:paraId="3496C9C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Validación final pendiente</w:t>
            </w:r>
          </w:p>
        </w:tc>
        <w:tc>
          <w:tcPr>
            <w:tcW w:w="1700" w:type="dxa"/>
            <w:tcBorders>
              <w:top w:val="single" w:sz="4" w:space="0" w:color="BFBFBF"/>
              <w:left w:val="single" w:sz="4" w:space="0" w:color="BFBFBF"/>
              <w:bottom w:val="single" w:sz="4" w:space="0" w:color="BFBFBF"/>
              <w:right w:val="single" w:sz="4" w:space="0" w:color="BFBFBF"/>
            </w:tcBorders>
            <w:vAlign w:val="center"/>
          </w:tcPr>
          <w:p w14:paraId="17C8577A"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Diagnóstico final, plan definitivo, presupuesto y proyecto de acuerdo</w:t>
            </w:r>
          </w:p>
        </w:tc>
        <w:tc>
          <w:tcPr>
            <w:tcW w:w="1750" w:type="dxa"/>
            <w:tcBorders>
              <w:top w:val="single" w:sz="4" w:space="0" w:color="BFBFBF"/>
              <w:left w:val="single" w:sz="4" w:space="0" w:color="BFBFBF"/>
              <w:bottom w:val="single" w:sz="4" w:space="0" w:color="BFBFBF"/>
              <w:right w:val="single" w:sz="4" w:space="0" w:color="BFBFBF"/>
            </w:tcBorders>
            <w:vAlign w:val="center"/>
          </w:tcPr>
          <w:p w14:paraId="7BD097EB" w14:textId="7D1D0B46"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Mesas técnicas por realizar con responsables y corresponsables</w:t>
            </w:r>
          </w:p>
        </w:tc>
        <w:tc>
          <w:tcPr>
            <w:tcW w:w="2271" w:type="dxa"/>
            <w:tcBorders>
              <w:top w:val="single" w:sz="4" w:space="0" w:color="BFBFBF"/>
              <w:left w:val="single" w:sz="4" w:space="0" w:color="BFBFBF"/>
              <w:bottom w:val="single" w:sz="4" w:space="0" w:color="BFBFBF"/>
              <w:right w:val="single" w:sz="4" w:space="0" w:color="BFBFBF"/>
            </w:tcBorders>
            <w:vAlign w:val="center"/>
          </w:tcPr>
          <w:p w14:paraId="0C60FFD8"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Secretarías, entidades misionales, INVISBU, comunidad, gremios y actores estratégicos</w:t>
            </w:r>
          </w:p>
        </w:tc>
        <w:tc>
          <w:tcPr>
            <w:tcW w:w="900" w:type="dxa"/>
            <w:tcBorders>
              <w:top w:val="single" w:sz="4" w:space="0" w:color="BFBFBF"/>
              <w:left w:val="single" w:sz="4" w:space="0" w:color="BFBFBF"/>
              <w:bottom w:val="single" w:sz="4" w:space="0" w:color="BFBFBF"/>
              <w:right w:val="single" w:sz="4" w:space="0" w:color="BFBFBF"/>
            </w:tcBorders>
            <w:vAlign w:val="center"/>
          </w:tcPr>
          <w:p w14:paraId="0043C37C" w14:textId="77777777" w:rsidR="00607E40" w:rsidRDefault="00000000">
            <w:pPr>
              <w:spacing w:after="20" w:line="240" w:lineRule="auto"/>
              <w:rPr>
                <w:rFonts w:ascii="Arial Narrow" w:eastAsia="Times New Roman" w:hAnsi="Arial Narrow" w:cs="Arial"/>
                <w:lang w:eastAsia="ar-SA"/>
              </w:rPr>
            </w:pPr>
            <w:r>
              <w:rPr>
                <w:rFonts w:ascii="Arial Narrow" w:eastAsia="Times New Roman" w:hAnsi="Arial Narrow" w:cs="Arial"/>
                <w:sz w:val="14"/>
                <w:szCs w:val="14"/>
                <w:lang w:eastAsia="ar-SA"/>
              </w:rPr>
              <w:t>Pendiente</w:t>
            </w:r>
          </w:p>
        </w:tc>
      </w:tr>
    </w:tbl>
    <w:p w14:paraId="537E87AC" w14:textId="6165C19F" w:rsidR="00607E40" w:rsidRDefault="00607E40">
      <w:pPr>
        <w:spacing w:after="80" w:line="240" w:lineRule="auto"/>
        <w:rPr>
          <w:rFonts w:ascii="Arial Narrow" w:eastAsia="Times New Roman" w:hAnsi="Arial Narrow" w:cs="Arial"/>
          <w:lang w:eastAsia="ar-SA"/>
        </w:rPr>
      </w:pPr>
    </w:p>
    <w:p w14:paraId="3827AA0D" w14:textId="2E1A6AB3" w:rsidR="00607E40" w:rsidRDefault="00000000" w:rsidP="00DC52EF">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Conforme a lo anterior, los documentos técnicos e insumos elaborados hasta la fecha han sido debidamente socializados con actores externos, de acuerdo con la etapa metodológica correspondiente y el estado de avance, como se evidencia en la carpeta digital anexa. La trazabilidad se soporta en actas, registros de asistencia, publicaciones institucionales, correos de convocatoria, formularios de inscripción, instrumentos de levantamiento de oferta y formularios de retroalimentación. No obstante, se reitera que la política pública aún no ha surtido la fase final de validación y aprobación, por lo que se encuentran pendientes las mesas técnicas con las entidades responsables y corresponsables, la validación del plan estratégico, la revisión del presupuesto indicativo, la consolidación de observaciones, la validación final del diagnóstico y del componente estratégico, y la revisión jurídica e institucional previa al trámite de adopción.</w:t>
      </w:r>
    </w:p>
    <w:p w14:paraId="0CBF4CD6" w14:textId="05DFA63E" w:rsidR="00DC52EF" w:rsidRDefault="00DC52EF" w:rsidP="00DC52EF">
      <w:pPr>
        <w:spacing w:after="0" w:line="240" w:lineRule="auto"/>
        <w:jc w:val="both"/>
        <w:rPr>
          <w:rFonts w:ascii="Arial Narrow" w:eastAsia="Times New Roman" w:hAnsi="Arial Narrow" w:cs="Arial"/>
          <w:lang w:eastAsia="ar-SA"/>
        </w:rPr>
      </w:pPr>
    </w:p>
    <w:p w14:paraId="64B38305" w14:textId="53C270EA" w:rsidR="00607E40" w:rsidRDefault="00995735" w:rsidP="00DC52EF">
      <w:pPr>
        <w:spacing w:after="0" w:line="240" w:lineRule="auto"/>
        <w:jc w:val="both"/>
        <w:rPr>
          <w:rFonts w:ascii="Arial Narrow" w:eastAsia="Times New Roman" w:hAnsi="Arial Narrow" w:cs="Arial"/>
          <w:lang w:eastAsia="ar-SA"/>
        </w:rPr>
      </w:pPr>
      <w:r>
        <w:rPr>
          <w:rFonts w:ascii="Arial Narrow" w:eastAsia="Times New Roman" w:hAnsi="Arial Narrow" w:cs="Arial"/>
          <w:noProof/>
          <w:lang w:eastAsia="ar-SA"/>
        </w:rPr>
        <w:drawing>
          <wp:anchor distT="0" distB="0" distL="0" distR="0" simplePos="0" relativeHeight="251662336" behindDoc="0" locked="0" layoutInCell="1" allowOverlap="1" wp14:anchorId="12849D0B" wp14:editId="778EB54E">
            <wp:simplePos x="0" y="0"/>
            <wp:positionH relativeFrom="margin">
              <wp:posOffset>3569335</wp:posOffset>
            </wp:positionH>
            <wp:positionV relativeFrom="paragraph">
              <wp:posOffset>7813040</wp:posOffset>
            </wp:positionV>
            <wp:extent cx="753745" cy="621030"/>
            <wp:effectExtent l="0" t="0" r="8255" b="7620"/>
            <wp:wrapNone/>
            <wp:docPr id="16454149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Narrow" w:eastAsia="Times New Roman" w:hAnsi="Arial Narrow" w:cs="Arial"/>
          <w:lang w:eastAsia="ar-SA"/>
        </w:rPr>
        <w:t xml:space="preserve">En los anteriores términos, el Instituto de Vivienda de Interés Social y Reforma Urbana de Bucaramanga - INVISBU da respuesta de fondo a la totalidad de las solicitudes formuladas, garantizando el derecho de acceso a la información pública, el ejercicio del control político y las garantías reforzadas consagradas en el Estatuto de la Oposición - Ley 1909 de 2018. La carpeta digital “INSUMOS PPVH”, con la totalidad de los soportes referidos, se remite al correo electrónico daniela.torres.concejo@gmail.com, registrado por la peticionaria para notificaciones. </w:t>
      </w:r>
    </w:p>
    <w:p w14:paraId="393D17BD" w14:textId="77777777" w:rsidR="0030454E" w:rsidRDefault="0030454E" w:rsidP="00DC52EF">
      <w:pPr>
        <w:spacing w:after="0" w:line="240" w:lineRule="auto"/>
        <w:jc w:val="both"/>
        <w:rPr>
          <w:rFonts w:ascii="Arial Narrow" w:eastAsia="Times New Roman" w:hAnsi="Arial Narrow" w:cs="Arial"/>
          <w:lang w:eastAsia="ar-SA"/>
        </w:rPr>
      </w:pPr>
    </w:p>
    <w:p w14:paraId="55B64FE6" w14:textId="77777777" w:rsidR="00AC3321" w:rsidRPr="00904392" w:rsidRDefault="00AC3321" w:rsidP="00FB7CA0">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Cordialmente,</w:t>
      </w:r>
    </w:p>
    <w:p w14:paraId="4E2418C6" w14:textId="7E23C88C" w:rsidR="00AC3321" w:rsidRPr="00904392" w:rsidRDefault="00995735" w:rsidP="00FB7CA0">
      <w:pPr>
        <w:spacing w:after="0" w:line="240" w:lineRule="auto"/>
        <w:jc w:val="both"/>
        <w:rPr>
          <w:rFonts w:ascii="Arial Narrow" w:eastAsia="Times New Roman" w:hAnsi="Arial Narrow" w:cs="Arial"/>
          <w:lang w:eastAsia="ar-SA"/>
        </w:rPr>
      </w:pPr>
      <w:r>
        <w:rPr>
          <w:rFonts w:ascii="Arial Narrow" w:eastAsia="Times New Roman" w:hAnsi="Arial Narrow" w:cs="Arial"/>
          <w:noProof/>
          <w:lang w:eastAsia="ar-SA"/>
        </w:rPr>
        <w:drawing>
          <wp:anchor distT="0" distB="0" distL="0" distR="0" simplePos="0" relativeHeight="251660288" behindDoc="0" locked="0" layoutInCell="1" allowOverlap="1" wp14:anchorId="12849D0B" wp14:editId="2F15E6CD">
            <wp:simplePos x="0" y="0"/>
            <wp:positionH relativeFrom="margin">
              <wp:posOffset>3569335</wp:posOffset>
            </wp:positionH>
            <wp:positionV relativeFrom="paragraph">
              <wp:posOffset>7813040</wp:posOffset>
            </wp:positionV>
            <wp:extent cx="753745" cy="621030"/>
            <wp:effectExtent l="0" t="0" r="8255" b="7620"/>
            <wp:wrapNone/>
            <wp:docPr id="53775101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6DD79B" w14:textId="622F4507" w:rsidR="00BF76C9" w:rsidRPr="00904392" w:rsidRDefault="00995735" w:rsidP="00FB7CA0">
      <w:pPr>
        <w:spacing w:after="0" w:line="240" w:lineRule="auto"/>
        <w:jc w:val="both"/>
        <w:rPr>
          <w:rFonts w:ascii="Arial Narrow" w:eastAsia="Times New Roman" w:hAnsi="Arial Narrow" w:cs="Arial"/>
          <w:lang w:eastAsia="ar-SA"/>
        </w:rPr>
      </w:pPr>
      <w:r>
        <w:rPr>
          <w:rFonts w:ascii="Arial Narrow" w:eastAsia="Times New Roman" w:hAnsi="Arial Narrow" w:cs="Arial"/>
          <w:noProof/>
          <w:lang w:eastAsia="ar-SA"/>
        </w:rPr>
        <w:drawing>
          <wp:anchor distT="0" distB="0" distL="0" distR="0" simplePos="0" relativeHeight="251663360" behindDoc="0" locked="0" layoutInCell="1" allowOverlap="1" wp14:anchorId="7862F947" wp14:editId="22D1B591">
            <wp:simplePos x="0" y="0"/>
            <wp:positionH relativeFrom="margin">
              <wp:posOffset>3569335</wp:posOffset>
            </wp:positionH>
            <wp:positionV relativeFrom="paragraph">
              <wp:posOffset>7738745</wp:posOffset>
            </wp:positionV>
            <wp:extent cx="753745" cy="621030"/>
            <wp:effectExtent l="0" t="0" r="8255" b="7620"/>
            <wp:wrapNone/>
            <wp:docPr id="209892274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861370" w14:textId="10A2AAE0" w:rsidR="00BC1974" w:rsidRPr="00904392" w:rsidRDefault="00995735" w:rsidP="00BC1974">
      <w:pPr>
        <w:pStyle w:val="Sinespaciado"/>
        <w:rPr>
          <w:rFonts w:ascii="Arial Narrow" w:hAnsi="Arial Narrow"/>
          <w:b/>
          <w:lang w:eastAsia="ar-SA"/>
        </w:rPr>
      </w:pPr>
      <w:bookmarkStart w:id="1" w:name="_Hlk156541254"/>
      <w:r>
        <w:rPr>
          <w:rFonts w:ascii="Arial Narrow" w:hAnsi="Arial Narrow"/>
          <w:b/>
          <w:noProof/>
          <w:lang w:eastAsia="ar-SA"/>
        </w:rPr>
        <w:drawing>
          <wp:anchor distT="0" distB="0" distL="0" distR="0" simplePos="0" relativeHeight="251659264" behindDoc="0" locked="0" layoutInCell="1" allowOverlap="1" wp14:anchorId="12849D0B" wp14:editId="58811185">
            <wp:simplePos x="0" y="0"/>
            <wp:positionH relativeFrom="margin">
              <wp:posOffset>3569335</wp:posOffset>
            </wp:positionH>
            <wp:positionV relativeFrom="paragraph">
              <wp:posOffset>7813040</wp:posOffset>
            </wp:positionV>
            <wp:extent cx="753745" cy="621030"/>
            <wp:effectExtent l="0" t="0" r="8255" b="7620"/>
            <wp:wrapNone/>
            <wp:docPr id="92329005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1B03">
        <w:rPr>
          <w:rFonts w:ascii="Arial Narrow" w:hAnsi="Arial Narrow"/>
          <w:b/>
          <w:lang w:eastAsia="ar-SA"/>
        </w:rPr>
        <w:t xml:space="preserve">SERGIO MAURICIO TELLEZ GAITÁN </w:t>
      </w:r>
    </w:p>
    <w:bookmarkEnd w:id="1"/>
    <w:p w14:paraId="55CB775C" w14:textId="1E07AFCD" w:rsidR="00561B03" w:rsidRPr="00904392" w:rsidRDefault="00561B03" w:rsidP="00BC1974">
      <w:pPr>
        <w:pStyle w:val="Sinespaciado"/>
        <w:rPr>
          <w:rFonts w:ascii="Arial Narrow" w:hAnsi="Arial Narrow"/>
          <w:lang w:eastAsia="ar-SA"/>
        </w:rPr>
      </w:pPr>
      <w:r>
        <w:rPr>
          <w:rFonts w:ascii="Arial Narrow" w:hAnsi="Arial Narrow"/>
          <w:lang w:eastAsia="ar-SA"/>
        </w:rPr>
        <w:t xml:space="preserve">Director </w:t>
      </w:r>
    </w:p>
    <w:p w14:paraId="2B855C86" w14:textId="69BD98C0" w:rsidR="007B7F69" w:rsidRPr="0030454E" w:rsidRDefault="00206A65" w:rsidP="007B7F69">
      <w:pPr>
        <w:pStyle w:val="Sinespaciado"/>
        <w:rPr>
          <w:rFonts w:ascii="Arial Narrow" w:hAnsi="Arial Narrow"/>
          <w:sz w:val="16"/>
          <w:szCs w:val="16"/>
        </w:rPr>
      </w:pPr>
      <w:r>
        <w:rPr>
          <w:rFonts w:ascii="Arial Narrow" w:hAnsi="Arial Narrow"/>
          <w:noProof/>
          <w:sz w:val="16"/>
          <w:szCs w:val="16"/>
        </w:rPr>
        <w:drawing>
          <wp:anchor distT="0" distB="0" distL="114300" distR="114300" simplePos="0" relativeHeight="251664384" behindDoc="0" locked="0" layoutInCell="1" allowOverlap="1" wp14:anchorId="70F722E0" wp14:editId="6F15B3F2">
            <wp:simplePos x="0" y="0"/>
            <wp:positionH relativeFrom="column">
              <wp:posOffset>1805940</wp:posOffset>
            </wp:positionH>
            <wp:positionV relativeFrom="paragraph">
              <wp:posOffset>149225</wp:posOffset>
            </wp:positionV>
            <wp:extent cx="228600" cy="200660"/>
            <wp:effectExtent l="0" t="0" r="0" b="8890"/>
            <wp:wrapNone/>
            <wp:docPr id="13326321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632161" name="Imagen 133263216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 cy="200660"/>
                    </a:xfrm>
                    <a:prstGeom prst="rect">
                      <a:avLst/>
                    </a:prstGeom>
                  </pic:spPr>
                </pic:pic>
              </a:graphicData>
            </a:graphic>
            <wp14:sizeRelH relativeFrom="margin">
              <wp14:pctWidth>0</wp14:pctWidth>
            </wp14:sizeRelH>
            <wp14:sizeRelV relativeFrom="margin">
              <wp14:pctHeight>0</wp14:pctHeight>
            </wp14:sizeRelV>
          </wp:anchor>
        </w:drawing>
      </w:r>
      <w:r w:rsidR="00995735">
        <w:rPr>
          <w:rFonts w:ascii="Arial Narrow" w:hAnsi="Arial Narrow"/>
          <w:noProof/>
          <w:sz w:val="16"/>
          <w:szCs w:val="16"/>
        </w:rPr>
        <w:drawing>
          <wp:anchor distT="0" distB="0" distL="0" distR="0" simplePos="0" relativeHeight="251661312" behindDoc="0" locked="0" layoutInCell="1" allowOverlap="1" wp14:anchorId="12849D0B" wp14:editId="1BFFAD79">
            <wp:simplePos x="0" y="0"/>
            <wp:positionH relativeFrom="margin">
              <wp:posOffset>3569335</wp:posOffset>
            </wp:positionH>
            <wp:positionV relativeFrom="paragraph">
              <wp:posOffset>7813040</wp:posOffset>
            </wp:positionV>
            <wp:extent cx="753745" cy="621030"/>
            <wp:effectExtent l="0" t="0" r="8255" b="7620"/>
            <wp:wrapNone/>
            <wp:docPr id="87256264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5735">
        <w:rPr>
          <w:rFonts w:ascii="Arial Narrow" w:hAnsi="Arial Narrow"/>
          <w:noProof/>
          <w:sz w:val="16"/>
          <w:szCs w:val="16"/>
        </w:rPr>
        <w:drawing>
          <wp:anchor distT="0" distB="0" distL="0" distR="0" simplePos="0" relativeHeight="251658240" behindDoc="0" locked="0" layoutInCell="1" allowOverlap="1" wp14:anchorId="12849D0B" wp14:editId="5D74C8F0">
            <wp:simplePos x="0" y="0"/>
            <wp:positionH relativeFrom="margin">
              <wp:posOffset>3569335</wp:posOffset>
            </wp:positionH>
            <wp:positionV relativeFrom="paragraph">
              <wp:posOffset>7813040</wp:posOffset>
            </wp:positionV>
            <wp:extent cx="753745" cy="621030"/>
            <wp:effectExtent l="0" t="0" r="8255" b="7620"/>
            <wp:wrapNone/>
            <wp:docPr id="14281012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45"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1B03" w:rsidRPr="0030454E">
        <w:rPr>
          <w:rFonts w:ascii="Arial Narrow" w:hAnsi="Arial Narrow"/>
          <w:sz w:val="16"/>
          <w:szCs w:val="16"/>
        </w:rPr>
        <w:t xml:space="preserve">Revisó: Carlos Andrés Hincapié Rueda. Asesor jurídico. </w:t>
      </w:r>
      <w:r w:rsidR="00995735">
        <w:rPr>
          <w:rFonts w:ascii="Arial Narrow" w:hAnsi="Arial Narrow"/>
          <w:sz w:val="16"/>
          <w:szCs w:val="16"/>
        </w:rPr>
        <w:t xml:space="preserve"> </w:t>
      </w:r>
      <w:r w:rsidR="00995735">
        <w:rPr>
          <w:rFonts w:ascii="Arial Narrow" w:eastAsia="Times New Roman" w:hAnsi="Arial Narrow" w:cs="Arial"/>
          <w:noProof/>
          <w:lang w:eastAsia="ar-SA"/>
        </w:rPr>
        <w:drawing>
          <wp:inline distT="0" distB="0" distL="0" distR="0" wp14:anchorId="1DC07BB8" wp14:editId="39FE6281">
            <wp:extent cx="168472" cy="138989"/>
            <wp:effectExtent l="0" t="0" r="3175" b="0"/>
            <wp:docPr id="63408927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096" cy="143629"/>
                    </a:xfrm>
                    <a:prstGeom prst="rect">
                      <a:avLst/>
                    </a:prstGeom>
                    <a:noFill/>
                  </pic:spPr>
                </pic:pic>
              </a:graphicData>
            </a:graphic>
          </wp:inline>
        </w:drawing>
      </w:r>
    </w:p>
    <w:p w14:paraId="363B4910" w14:textId="638112DD" w:rsidR="007B7F69" w:rsidRPr="0030454E" w:rsidRDefault="007B7F69" w:rsidP="007B7F69">
      <w:pPr>
        <w:pStyle w:val="Sinespaciado"/>
        <w:rPr>
          <w:rFonts w:ascii="Arial Narrow" w:hAnsi="Arial Narrow"/>
          <w:sz w:val="16"/>
          <w:szCs w:val="16"/>
        </w:rPr>
      </w:pPr>
      <w:r w:rsidRPr="0030454E">
        <w:rPr>
          <w:rFonts w:ascii="Arial Narrow" w:hAnsi="Arial Narrow"/>
          <w:sz w:val="16"/>
          <w:szCs w:val="16"/>
        </w:rPr>
        <w:t xml:space="preserve">Proyectó: Carlos Navarro. – Abogado Contratista </w:t>
      </w:r>
    </w:p>
    <w:p w14:paraId="228B827A" w14:textId="10433E0A" w:rsidR="0030454E" w:rsidRPr="0030454E" w:rsidRDefault="0030454E" w:rsidP="007B7F69">
      <w:pPr>
        <w:pStyle w:val="Sinespaciado"/>
        <w:rPr>
          <w:rFonts w:ascii="Arial Narrow" w:hAnsi="Arial Narrow"/>
          <w:sz w:val="16"/>
          <w:szCs w:val="16"/>
        </w:rPr>
      </w:pPr>
      <w:r w:rsidRPr="0030454E">
        <w:rPr>
          <w:rFonts w:ascii="Arial Narrow" w:hAnsi="Arial Narrow"/>
          <w:sz w:val="16"/>
          <w:szCs w:val="16"/>
        </w:rPr>
        <w:t xml:space="preserve">Proyectó aspectos técnicos: Roque Arenas - Arquitecto Contratista. </w:t>
      </w:r>
    </w:p>
    <w:p w14:paraId="1B6EB020" w14:textId="77777777" w:rsidR="007D1A3E" w:rsidRPr="007D1A3E" w:rsidRDefault="007D1A3E" w:rsidP="007B7F69">
      <w:pPr>
        <w:pStyle w:val="Sinespaciado"/>
        <w:rPr>
          <w:rFonts w:ascii="Arial Narrow" w:hAnsi="Arial Narrow"/>
          <w:sz w:val="16"/>
          <w:szCs w:val="16"/>
        </w:rPr>
      </w:pPr>
    </w:p>
    <w:p w14:paraId="00676FC8" w14:textId="77777777" w:rsidR="00E626A4" w:rsidRPr="004F33AF" w:rsidRDefault="00E626A4" w:rsidP="007B7F69">
      <w:pPr>
        <w:pStyle w:val="Sinespaciado"/>
        <w:rPr>
          <w:rFonts w:ascii="Arial Narrow" w:hAnsi="Arial Narrow"/>
          <w:i/>
          <w:sz w:val="18"/>
          <w:szCs w:val="18"/>
        </w:rPr>
      </w:pPr>
    </w:p>
    <w:sectPr w:rsidR="00E626A4" w:rsidRPr="004F33AF" w:rsidSect="008F5210">
      <w:headerReference w:type="default" r:id="rId12"/>
      <w:footerReference w:type="default" r:id="rId13"/>
      <w:headerReference w:type="first" r:id="rId14"/>
      <w:footerReference w:type="first" r:id="rId15"/>
      <w:pgSz w:w="12240" w:h="18720" w:code="14"/>
      <w:pgMar w:top="2268" w:right="1701" w:bottom="1701" w:left="2268" w:header="624" w:footer="624"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DD97" w14:textId="77777777" w:rsidR="0032562A" w:rsidRDefault="0032562A">
      <w:pPr>
        <w:spacing w:after="0" w:line="240" w:lineRule="auto"/>
      </w:pPr>
      <w:r>
        <w:separator/>
      </w:r>
    </w:p>
  </w:endnote>
  <w:endnote w:type="continuationSeparator" w:id="0">
    <w:p w14:paraId="05CE5989" w14:textId="77777777" w:rsidR="0032562A" w:rsidRDefault="0032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3A0" w14:textId="77777777" w:rsidR="009A5A98" w:rsidRDefault="004C1E9E">
    <w:pPr>
      <w:spacing w:after="0" w:line="240" w:lineRule="auto"/>
      <w:ind w:left="-426"/>
      <w:rPr>
        <w:rFonts w:ascii="Arial Narrow" w:hAnsi="Arial Narrow"/>
        <w:sz w:val="14"/>
        <w:szCs w:val="14"/>
        <w:lang w:val="es-ES"/>
      </w:rPr>
    </w:pPr>
    <w:r>
      <w:rPr>
        <w:noProof/>
        <w:lang w:eastAsia="es-CO"/>
      </w:rPr>
      <w:drawing>
        <wp:anchor distT="0" distB="0" distL="0" distR="0" simplePos="0" relativeHeight="251656192" behindDoc="1" locked="0" layoutInCell="0" allowOverlap="1" wp14:anchorId="75C6060C" wp14:editId="75C6060D">
          <wp:simplePos x="0" y="0"/>
          <wp:positionH relativeFrom="column">
            <wp:align>center</wp:align>
          </wp:positionH>
          <wp:positionV relativeFrom="paragraph">
            <wp:align>top</wp:align>
          </wp:positionV>
          <wp:extent cx="7771765" cy="788670"/>
          <wp:effectExtent l="0" t="0" r="0" b="0"/>
          <wp:wrapSquare wrapText="largest"/>
          <wp:docPr id="3"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r>
      <w:rPr>
        <w:rFonts w:ascii="Arial Narrow" w:hAnsi="Arial Narrow"/>
        <w:sz w:val="14"/>
        <w:szCs w:val="14"/>
        <w:lang w:val="es-E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EB2A" w14:textId="77777777" w:rsidR="009A5A98" w:rsidRDefault="004C1E9E">
    <w:pPr>
      <w:spacing w:after="0" w:line="240" w:lineRule="auto"/>
      <w:ind w:left="-426"/>
      <w:rPr>
        <w:rFonts w:ascii="Arial Narrow" w:hAnsi="Arial Narrow"/>
        <w:sz w:val="14"/>
        <w:szCs w:val="14"/>
        <w:lang w:val="es-ES"/>
      </w:rPr>
    </w:pPr>
    <w:r>
      <w:rPr>
        <w:noProof/>
        <w:lang w:eastAsia="es-CO"/>
      </w:rPr>
      <w:drawing>
        <wp:anchor distT="0" distB="0" distL="0" distR="0" simplePos="0" relativeHeight="251657216" behindDoc="1" locked="0" layoutInCell="0" allowOverlap="1" wp14:anchorId="75C60610" wp14:editId="75C60611">
          <wp:simplePos x="0" y="0"/>
          <wp:positionH relativeFrom="column">
            <wp:align>center</wp:align>
          </wp:positionH>
          <wp:positionV relativeFrom="paragraph">
            <wp:align>top</wp:align>
          </wp:positionV>
          <wp:extent cx="7771765" cy="788670"/>
          <wp:effectExtent l="0" t="0" r="0" b="0"/>
          <wp:wrapSquare wrapText="largest"/>
          <wp:docPr id="4"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r>
      <w:rPr>
        <w:rFonts w:ascii="Arial Narrow" w:hAnsi="Arial Narrow"/>
        <w:sz w:val="14"/>
        <w:szCs w:val="14"/>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1512" w14:textId="77777777" w:rsidR="0032562A" w:rsidRDefault="0032562A">
      <w:pPr>
        <w:spacing w:after="0" w:line="240" w:lineRule="auto"/>
      </w:pPr>
      <w:r>
        <w:separator/>
      </w:r>
    </w:p>
  </w:footnote>
  <w:footnote w:type="continuationSeparator" w:id="0">
    <w:p w14:paraId="188A4F63" w14:textId="77777777" w:rsidR="0032562A" w:rsidRDefault="003256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856" w:type="dxa"/>
      <w:tblLayout w:type="fixed"/>
      <w:tblCellMar>
        <w:left w:w="70" w:type="dxa"/>
        <w:right w:w="70" w:type="dxa"/>
      </w:tblCellMar>
      <w:tblLook w:val="0000" w:firstRow="0" w:lastRow="0" w:firstColumn="0" w:lastColumn="0" w:noHBand="0" w:noVBand="0"/>
    </w:tblPr>
    <w:tblGrid>
      <w:gridCol w:w="3478"/>
      <w:gridCol w:w="4319"/>
      <w:gridCol w:w="1985"/>
    </w:tblGrid>
    <w:tr w:rsidR="009A5A98" w14:paraId="6E5052C7" w14:textId="77777777" w:rsidTr="00620172">
      <w:trPr>
        <w:trHeight w:val="397"/>
      </w:trPr>
      <w:tc>
        <w:tcPr>
          <w:tcW w:w="3478" w:type="dxa"/>
          <w:vMerge w:val="restart"/>
          <w:tcBorders>
            <w:top w:val="single" w:sz="4" w:space="0" w:color="000000"/>
            <w:left w:val="single" w:sz="4" w:space="0" w:color="000000"/>
            <w:bottom w:val="single" w:sz="4" w:space="0" w:color="000000"/>
          </w:tcBorders>
          <w:vAlign w:val="center"/>
        </w:tcPr>
        <w:p w14:paraId="5DCBC6AE" w14:textId="77777777" w:rsidR="009A5A98" w:rsidRDefault="004C1E9E">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58240" behindDoc="0" locked="0" layoutInCell="0" allowOverlap="1" wp14:anchorId="75C6060A" wp14:editId="42A20821">
                <wp:simplePos x="0" y="0"/>
                <wp:positionH relativeFrom="column">
                  <wp:posOffset>34925</wp:posOffset>
                </wp:positionH>
                <wp:positionV relativeFrom="paragraph">
                  <wp:posOffset>185420</wp:posOffset>
                </wp:positionV>
                <wp:extent cx="2057400" cy="533400"/>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2057400"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19" w:type="dxa"/>
          <w:vMerge w:val="restart"/>
          <w:tcBorders>
            <w:top w:val="single" w:sz="4" w:space="0" w:color="000000"/>
            <w:left w:val="single" w:sz="4" w:space="0" w:color="000000"/>
            <w:bottom w:val="single" w:sz="4" w:space="0" w:color="000000"/>
          </w:tcBorders>
          <w:vAlign w:val="center"/>
        </w:tcPr>
        <w:p w14:paraId="6D91F559" w14:textId="77777777" w:rsidR="009A5A98" w:rsidRDefault="004C1E9E">
          <w:pPr>
            <w:pStyle w:val="Sinespaciado"/>
            <w:jc w:val="center"/>
            <w:rPr>
              <w:rFonts w:ascii="Arial Narrow" w:hAnsi="Arial Narrow"/>
              <w:b/>
            </w:rPr>
          </w:pPr>
          <w:r>
            <w:rPr>
              <w:rFonts w:ascii="Arial Narrow" w:hAnsi="Arial Narrow"/>
              <w:b/>
            </w:rPr>
            <w:t>OFICIO</w:t>
          </w:r>
        </w:p>
      </w:tc>
      <w:tc>
        <w:tcPr>
          <w:tcW w:w="1985" w:type="dxa"/>
          <w:tcBorders>
            <w:top w:val="single" w:sz="4" w:space="0" w:color="000000"/>
            <w:left w:val="single" w:sz="4" w:space="0" w:color="000000"/>
            <w:bottom w:val="single" w:sz="4" w:space="0" w:color="000000"/>
            <w:right w:val="single" w:sz="4" w:space="0" w:color="000000"/>
          </w:tcBorders>
          <w:vAlign w:val="center"/>
        </w:tcPr>
        <w:p w14:paraId="137E4601" w14:textId="77777777" w:rsidR="009A5A98" w:rsidRDefault="004C1E9E">
          <w:pPr>
            <w:pStyle w:val="Encabezado"/>
            <w:rPr>
              <w:rFonts w:ascii="Arial Narrow" w:hAnsi="Arial Narrow" w:cs="Arial"/>
            </w:rPr>
          </w:pPr>
          <w:r>
            <w:rPr>
              <w:rFonts w:ascii="Arial Narrow" w:hAnsi="Arial Narrow" w:cs="Arial"/>
            </w:rPr>
            <w:t>Código: F.29.PO.GD</w:t>
          </w:r>
        </w:p>
      </w:tc>
    </w:tr>
    <w:tr w:rsidR="009A5A98" w14:paraId="52E14A19" w14:textId="77777777" w:rsidTr="00620172">
      <w:trPr>
        <w:trHeight w:val="397"/>
      </w:trPr>
      <w:tc>
        <w:tcPr>
          <w:tcW w:w="3478" w:type="dxa"/>
          <w:vMerge/>
          <w:tcBorders>
            <w:left w:val="single" w:sz="4" w:space="0" w:color="000000"/>
          </w:tcBorders>
          <w:vAlign w:val="center"/>
        </w:tcPr>
        <w:p w14:paraId="1A8481E6"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tcBorders>
          <w:vAlign w:val="center"/>
        </w:tcPr>
        <w:p w14:paraId="687813B8"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1995867" w14:textId="77777777" w:rsidR="009A5A98" w:rsidRDefault="004C1E9E">
          <w:pPr>
            <w:pStyle w:val="Encabezado"/>
            <w:rPr>
              <w:rFonts w:ascii="Arial Narrow" w:hAnsi="Arial Narrow" w:cs="Arial"/>
            </w:rPr>
          </w:pPr>
          <w:r>
            <w:rPr>
              <w:rFonts w:ascii="Arial Narrow" w:hAnsi="Arial Narrow" w:cs="Arial"/>
            </w:rPr>
            <w:t>Versión: 3.0</w:t>
          </w:r>
        </w:p>
      </w:tc>
    </w:tr>
    <w:tr w:rsidR="009A5A98" w14:paraId="72DF691F" w14:textId="77777777" w:rsidTr="00620172">
      <w:trPr>
        <w:trHeight w:val="397"/>
      </w:trPr>
      <w:tc>
        <w:tcPr>
          <w:tcW w:w="3478" w:type="dxa"/>
          <w:vMerge/>
          <w:tcBorders>
            <w:left w:val="single" w:sz="4" w:space="0" w:color="000000"/>
          </w:tcBorders>
          <w:vAlign w:val="center"/>
        </w:tcPr>
        <w:p w14:paraId="27E48364"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tcBorders>
          <w:vAlign w:val="center"/>
        </w:tcPr>
        <w:p w14:paraId="049152CC"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62209D1" w14:textId="77777777" w:rsidR="009A5A98" w:rsidRDefault="004C1E9E">
          <w:pPr>
            <w:pStyle w:val="Encabezado"/>
            <w:rPr>
              <w:rFonts w:ascii="Arial Narrow" w:hAnsi="Arial Narrow" w:cs="Arial"/>
            </w:rPr>
          </w:pPr>
          <w:r>
            <w:rPr>
              <w:rFonts w:ascii="Arial Narrow" w:hAnsi="Arial Narrow" w:cs="Arial"/>
            </w:rPr>
            <w:t>Fecha: 17.02.22</w:t>
          </w:r>
        </w:p>
      </w:tc>
    </w:tr>
    <w:tr w:rsidR="009A5A98" w14:paraId="058B4AF3" w14:textId="77777777" w:rsidTr="00620172">
      <w:trPr>
        <w:trHeight w:val="397"/>
      </w:trPr>
      <w:tc>
        <w:tcPr>
          <w:tcW w:w="3478" w:type="dxa"/>
          <w:vMerge/>
          <w:tcBorders>
            <w:left w:val="single" w:sz="4" w:space="0" w:color="000000"/>
            <w:bottom w:val="single" w:sz="4" w:space="0" w:color="000000"/>
          </w:tcBorders>
          <w:vAlign w:val="center"/>
        </w:tcPr>
        <w:p w14:paraId="7FD0AE10"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bottom w:val="single" w:sz="4" w:space="0" w:color="000000"/>
          </w:tcBorders>
          <w:vAlign w:val="center"/>
        </w:tcPr>
        <w:p w14:paraId="03B299EC"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5C79AD1" w14:textId="77777777" w:rsidR="009A5A98" w:rsidRDefault="004C1E9E">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sidR="00B93707">
            <w:rPr>
              <w:rFonts w:ascii="Arial Narrow" w:hAnsi="Arial Narrow" w:cs="Arial"/>
              <w:bCs/>
              <w:noProof/>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B93707">
            <w:rPr>
              <w:rFonts w:ascii="Arial Narrow" w:hAnsi="Arial Narrow" w:cs="Arial"/>
              <w:bCs/>
              <w:noProof/>
            </w:rPr>
            <w:t>1</w:t>
          </w:r>
          <w:r>
            <w:rPr>
              <w:rFonts w:ascii="Arial Narrow" w:hAnsi="Arial Narrow" w:cs="Arial"/>
              <w:bCs/>
            </w:rPr>
            <w:fldChar w:fldCharType="end"/>
          </w:r>
        </w:p>
      </w:tc>
    </w:tr>
  </w:tbl>
  <w:p w14:paraId="4BC70C0A" w14:textId="77777777" w:rsidR="009A5A98" w:rsidRDefault="009A5A98">
    <w:pPr>
      <w:pStyle w:val="Encabezado"/>
      <w:jc w:val="center"/>
    </w:pPr>
  </w:p>
  <w:p w14:paraId="2E25CB94" w14:textId="4F8A4C9A" w:rsidR="00AC3321" w:rsidRDefault="00AC3321" w:rsidP="000A6D26">
    <w:pPr>
      <w:spacing w:after="0" w:line="240" w:lineRule="auto"/>
      <w:jc w:val="center"/>
    </w:pPr>
    <w:r>
      <w:rPr>
        <w:rFonts w:ascii="Arial Narrow" w:eastAsia="Times New Roman" w:hAnsi="Arial Narrow" w:cs="Arial"/>
        <w:b/>
        <w:bCs/>
        <w:lang w:val="es-ES" w:eastAsia="ar-SA"/>
      </w:rPr>
      <w:t xml:space="preserve">OFICIO </w:t>
    </w:r>
    <w:r w:rsidR="00BF76C9" w:rsidRPr="00314CAD">
      <w:rPr>
        <w:rFonts w:ascii="Arial Narrow" w:eastAsia="Times New Roman" w:hAnsi="Arial Narrow" w:cs="Arial"/>
        <w:b/>
        <w:bCs/>
        <w:lang w:val="es-ES" w:eastAsia="ar-SA"/>
      </w:rPr>
      <w:t>No</w:t>
    </w:r>
    <w:r w:rsidR="00D37B22" w:rsidRPr="00314CAD">
      <w:rPr>
        <w:rFonts w:ascii="Arial Narrow" w:eastAsia="Times New Roman" w:hAnsi="Arial Narrow" w:cs="Arial"/>
        <w:b/>
        <w:bCs/>
        <w:lang w:val="es-ES" w:eastAsia="ar-SA"/>
      </w:rPr>
      <w:t xml:space="preserve"> </w:t>
    </w:r>
    <w:r w:rsidR="00314CAD">
      <w:rPr>
        <w:rFonts w:ascii="Arial Narrow" w:eastAsia="Times New Roman" w:hAnsi="Arial Narrow" w:cs="Arial"/>
        <w:b/>
        <w:bCs/>
        <w:lang w:val="es-ES" w:eastAsia="ar-SA"/>
      </w:rPr>
      <w:t>1186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856" w:type="dxa"/>
      <w:tblLayout w:type="fixed"/>
      <w:tblCellMar>
        <w:left w:w="70" w:type="dxa"/>
        <w:right w:w="70" w:type="dxa"/>
      </w:tblCellMar>
      <w:tblLook w:val="0000" w:firstRow="0" w:lastRow="0" w:firstColumn="0" w:lastColumn="0" w:noHBand="0" w:noVBand="0"/>
    </w:tblPr>
    <w:tblGrid>
      <w:gridCol w:w="2834"/>
      <w:gridCol w:w="4963"/>
      <w:gridCol w:w="1985"/>
    </w:tblGrid>
    <w:tr w:rsidR="009A5A98" w14:paraId="6298ABA5" w14:textId="77777777">
      <w:trPr>
        <w:trHeight w:val="397"/>
      </w:trPr>
      <w:tc>
        <w:tcPr>
          <w:tcW w:w="2834" w:type="dxa"/>
          <w:vMerge w:val="restart"/>
          <w:tcBorders>
            <w:top w:val="single" w:sz="4" w:space="0" w:color="000000"/>
            <w:left w:val="single" w:sz="4" w:space="0" w:color="000000"/>
            <w:bottom w:val="single" w:sz="4" w:space="0" w:color="000000"/>
          </w:tcBorders>
          <w:vAlign w:val="center"/>
        </w:tcPr>
        <w:p w14:paraId="60195356" w14:textId="77777777" w:rsidR="009A5A98" w:rsidRDefault="004C1E9E">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59264" behindDoc="0" locked="0" layoutInCell="0" allowOverlap="1" wp14:anchorId="75C6060E" wp14:editId="75C6060F">
                <wp:simplePos x="0" y="0"/>
                <wp:positionH relativeFrom="column">
                  <wp:posOffset>22860</wp:posOffset>
                </wp:positionH>
                <wp:positionV relativeFrom="paragraph">
                  <wp:posOffset>285750</wp:posOffset>
                </wp:positionV>
                <wp:extent cx="1665605" cy="387985"/>
                <wp:effectExtent l="0" t="0" r="0" b="0"/>
                <wp:wrapSquare wrapText="largest"/>
                <wp:docPr id="2"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665605" cy="387985"/>
                        </a:xfrm>
                        <a:prstGeom prst="rect">
                          <a:avLst/>
                        </a:prstGeom>
                        <a:noFill/>
                      </pic:spPr>
                    </pic:pic>
                  </a:graphicData>
                </a:graphic>
              </wp:anchor>
            </w:drawing>
          </w:r>
        </w:p>
      </w:tc>
      <w:tc>
        <w:tcPr>
          <w:tcW w:w="4963" w:type="dxa"/>
          <w:vMerge w:val="restart"/>
          <w:tcBorders>
            <w:top w:val="single" w:sz="4" w:space="0" w:color="000000"/>
            <w:left w:val="single" w:sz="4" w:space="0" w:color="000000"/>
            <w:bottom w:val="single" w:sz="4" w:space="0" w:color="000000"/>
          </w:tcBorders>
          <w:vAlign w:val="center"/>
        </w:tcPr>
        <w:p w14:paraId="469EEB6D" w14:textId="77777777" w:rsidR="009A5A98" w:rsidRDefault="004C1E9E">
          <w:pPr>
            <w:pStyle w:val="Sinespaciado"/>
            <w:jc w:val="center"/>
            <w:rPr>
              <w:rFonts w:ascii="Arial Narrow" w:hAnsi="Arial Narrow"/>
              <w:b/>
            </w:rPr>
          </w:pPr>
          <w:r>
            <w:rPr>
              <w:rFonts w:ascii="Arial Narrow" w:hAnsi="Arial Narrow"/>
              <w:b/>
            </w:rPr>
            <w:t>OFICIO</w:t>
          </w:r>
        </w:p>
      </w:tc>
      <w:tc>
        <w:tcPr>
          <w:tcW w:w="1985" w:type="dxa"/>
          <w:tcBorders>
            <w:top w:val="single" w:sz="4" w:space="0" w:color="000000"/>
            <w:left w:val="single" w:sz="4" w:space="0" w:color="000000"/>
            <w:bottom w:val="single" w:sz="4" w:space="0" w:color="000000"/>
            <w:right w:val="single" w:sz="4" w:space="0" w:color="000000"/>
          </w:tcBorders>
          <w:vAlign w:val="center"/>
        </w:tcPr>
        <w:p w14:paraId="59BA7EA0" w14:textId="77777777" w:rsidR="009A5A98" w:rsidRDefault="004C1E9E">
          <w:pPr>
            <w:pStyle w:val="Encabezado"/>
            <w:rPr>
              <w:rFonts w:ascii="Arial Narrow" w:hAnsi="Arial Narrow" w:cs="Arial"/>
            </w:rPr>
          </w:pPr>
          <w:r>
            <w:rPr>
              <w:rFonts w:ascii="Arial Narrow" w:hAnsi="Arial Narrow" w:cs="Arial"/>
            </w:rPr>
            <w:t>Código: F.29.PO.GD</w:t>
          </w:r>
        </w:p>
      </w:tc>
    </w:tr>
    <w:tr w:rsidR="009A5A98" w14:paraId="0382ED70" w14:textId="77777777">
      <w:trPr>
        <w:trHeight w:val="397"/>
      </w:trPr>
      <w:tc>
        <w:tcPr>
          <w:tcW w:w="2834" w:type="dxa"/>
          <w:vMerge/>
          <w:tcBorders>
            <w:left w:val="single" w:sz="4" w:space="0" w:color="000000"/>
          </w:tcBorders>
          <w:vAlign w:val="center"/>
        </w:tcPr>
        <w:p w14:paraId="15FDCBE2"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tcBorders>
          <w:vAlign w:val="center"/>
        </w:tcPr>
        <w:p w14:paraId="44836901"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0602548" w14:textId="77777777" w:rsidR="009A5A98" w:rsidRDefault="004C1E9E">
          <w:pPr>
            <w:pStyle w:val="Encabezado"/>
            <w:rPr>
              <w:rFonts w:ascii="Arial Narrow" w:hAnsi="Arial Narrow" w:cs="Arial"/>
            </w:rPr>
          </w:pPr>
          <w:r>
            <w:rPr>
              <w:rFonts w:ascii="Arial Narrow" w:hAnsi="Arial Narrow" w:cs="Arial"/>
            </w:rPr>
            <w:t>Versión: 3.0</w:t>
          </w:r>
        </w:p>
      </w:tc>
    </w:tr>
    <w:tr w:rsidR="009A5A98" w14:paraId="37925226" w14:textId="77777777">
      <w:trPr>
        <w:trHeight w:val="397"/>
      </w:trPr>
      <w:tc>
        <w:tcPr>
          <w:tcW w:w="2834" w:type="dxa"/>
          <w:vMerge/>
          <w:tcBorders>
            <w:left w:val="single" w:sz="4" w:space="0" w:color="000000"/>
          </w:tcBorders>
          <w:vAlign w:val="center"/>
        </w:tcPr>
        <w:p w14:paraId="50DB9098"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tcBorders>
          <w:vAlign w:val="center"/>
        </w:tcPr>
        <w:p w14:paraId="1246F432"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712CEBF" w14:textId="77777777" w:rsidR="009A5A98" w:rsidRDefault="004C1E9E">
          <w:pPr>
            <w:pStyle w:val="Encabezado"/>
            <w:rPr>
              <w:rFonts w:ascii="Arial Narrow" w:hAnsi="Arial Narrow" w:cs="Arial"/>
            </w:rPr>
          </w:pPr>
          <w:r>
            <w:rPr>
              <w:rFonts w:ascii="Arial Narrow" w:hAnsi="Arial Narrow" w:cs="Arial"/>
            </w:rPr>
            <w:t>Fecha: 17.02.22</w:t>
          </w:r>
        </w:p>
      </w:tc>
    </w:tr>
    <w:tr w:rsidR="009A5A98" w14:paraId="53682270" w14:textId="77777777">
      <w:trPr>
        <w:trHeight w:val="397"/>
      </w:trPr>
      <w:tc>
        <w:tcPr>
          <w:tcW w:w="2834" w:type="dxa"/>
          <w:vMerge/>
          <w:tcBorders>
            <w:left w:val="single" w:sz="4" w:space="0" w:color="000000"/>
            <w:bottom w:val="single" w:sz="4" w:space="0" w:color="000000"/>
          </w:tcBorders>
          <w:vAlign w:val="center"/>
        </w:tcPr>
        <w:p w14:paraId="036650B4"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bottom w:val="single" w:sz="4" w:space="0" w:color="000000"/>
          </w:tcBorders>
          <w:vAlign w:val="center"/>
        </w:tcPr>
        <w:p w14:paraId="0732B527"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F5C4FA4" w14:textId="77777777" w:rsidR="009A5A98" w:rsidRDefault="004C1E9E">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Pr>
              <w:rFonts w:ascii="Arial Narrow" w:hAnsi="Arial Narrow" w:cs="Arial"/>
              <w:bCs/>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FF2D47">
            <w:rPr>
              <w:rFonts w:ascii="Arial Narrow" w:hAnsi="Arial Narrow" w:cs="Arial"/>
              <w:bCs/>
              <w:noProof/>
            </w:rPr>
            <w:t>1</w:t>
          </w:r>
          <w:r>
            <w:rPr>
              <w:rFonts w:ascii="Arial Narrow" w:hAnsi="Arial Narrow" w:cs="Arial"/>
              <w:bCs/>
            </w:rPr>
            <w:fldChar w:fldCharType="end"/>
          </w:r>
        </w:p>
      </w:tc>
    </w:tr>
  </w:tbl>
  <w:p w14:paraId="5CFE170D" w14:textId="77777777" w:rsidR="009A5A98" w:rsidRDefault="009A5A9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2E2"/>
    <w:multiLevelType w:val="hybridMultilevel"/>
    <w:tmpl w:val="F072F8F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9D724A8"/>
    <w:multiLevelType w:val="hybridMultilevel"/>
    <w:tmpl w:val="4B94EDC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F9232B"/>
    <w:multiLevelType w:val="hybridMultilevel"/>
    <w:tmpl w:val="96025DE0"/>
    <w:lvl w:ilvl="0" w:tplc="240A0019">
      <w:start w:val="1"/>
      <w:numFmt w:val="lowerLetter"/>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3" w15:restartNumberingAfterBreak="0">
    <w:nsid w:val="330A3C19"/>
    <w:multiLevelType w:val="hybridMultilevel"/>
    <w:tmpl w:val="99A00D8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15:restartNumberingAfterBreak="0">
    <w:nsid w:val="349A3278"/>
    <w:multiLevelType w:val="hybridMultilevel"/>
    <w:tmpl w:val="A0CC47B0"/>
    <w:lvl w:ilvl="0" w:tplc="4A7A98B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D0A5688"/>
    <w:multiLevelType w:val="hybridMultilevel"/>
    <w:tmpl w:val="CB46D1D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49C313E1"/>
    <w:multiLevelType w:val="hybridMultilevel"/>
    <w:tmpl w:val="475CF188"/>
    <w:lvl w:ilvl="0" w:tplc="FFFFFFFF">
      <w:start w:val="1"/>
      <w:numFmt w:val="decimal"/>
      <w:lvlText w:val="%1."/>
      <w:lvlJc w:val="left"/>
      <w:pPr>
        <w:ind w:left="360" w:hanging="360"/>
      </w:pPr>
      <w:rPr>
        <w:rFonts w:hint="default"/>
      </w:rPr>
    </w:lvl>
    <w:lvl w:ilvl="1" w:tplc="240A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27247516">
    <w:abstractNumId w:val="0"/>
  </w:num>
  <w:num w:numId="2" w16cid:durableId="1497721077">
    <w:abstractNumId w:val="5"/>
  </w:num>
  <w:num w:numId="3" w16cid:durableId="1321540009">
    <w:abstractNumId w:val="6"/>
  </w:num>
  <w:num w:numId="4" w16cid:durableId="197932763">
    <w:abstractNumId w:val="2"/>
  </w:num>
  <w:num w:numId="5" w16cid:durableId="2083091684">
    <w:abstractNumId w:val="3"/>
  </w:num>
  <w:num w:numId="6" w16cid:durableId="1158888872">
    <w:abstractNumId w:val="1"/>
  </w:num>
  <w:num w:numId="7" w16cid:durableId="96215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A98"/>
    <w:rsid w:val="0000210D"/>
    <w:rsid w:val="000131BD"/>
    <w:rsid w:val="00037E6B"/>
    <w:rsid w:val="00045D11"/>
    <w:rsid w:val="000A6D26"/>
    <w:rsid w:val="000E192D"/>
    <w:rsid w:val="000F6E40"/>
    <w:rsid w:val="00124144"/>
    <w:rsid w:val="00143799"/>
    <w:rsid w:val="00174CDC"/>
    <w:rsid w:val="00176715"/>
    <w:rsid w:val="00183A1D"/>
    <w:rsid w:val="001B707B"/>
    <w:rsid w:val="001E072D"/>
    <w:rsid w:val="0020556F"/>
    <w:rsid w:val="00206A65"/>
    <w:rsid w:val="002131F8"/>
    <w:rsid w:val="002620CD"/>
    <w:rsid w:val="002A58DD"/>
    <w:rsid w:val="002C40DD"/>
    <w:rsid w:val="002C60C3"/>
    <w:rsid w:val="002E60A9"/>
    <w:rsid w:val="0030454E"/>
    <w:rsid w:val="00304570"/>
    <w:rsid w:val="00304C28"/>
    <w:rsid w:val="00313445"/>
    <w:rsid w:val="00314CAD"/>
    <w:rsid w:val="003212B2"/>
    <w:rsid w:val="0032173F"/>
    <w:rsid w:val="0032562A"/>
    <w:rsid w:val="0032799D"/>
    <w:rsid w:val="00381EC0"/>
    <w:rsid w:val="00385A91"/>
    <w:rsid w:val="003900C7"/>
    <w:rsid w:val="003F793B"/>
    <w:rsid w:val="00403CD8"/>
    <w:rsid w:val="00441AFE"/>
    <w:rsid w:val="0047315D"/>
    <w:rsid w:val="00473FED"/>
    <w:rsid w:val="00493F41"/>
    <w:rsid w:val="004B72F5"/>
    <w:rsid w:val="004C1E9E"/>
    <w:rsid w:val="004C24DA"/>
    <w:rsid w:val="004D51A7"/>
    <w:rsid w:val="004F33AF"/>
    <w:rsid w:val="004F5B3C"/>
    <w:rsid w:val="004F7549"/>
    <w:rsid w:val="005206F5"/>
    <w:rsid w:val="00540FBC"/>
    <w:rsid w:val="00544C8B"/>
    <w:rsid w:val="0055197D"/>
    <w:rsid w:val="00561B03"/>
    <w:rsid w:val="00565F20"/>
    <w:rsid w:val="00576442"/>
    <w:rsid w:val="005779F7"/>
    <w:rsid w:val="00580233"/>
    <w:rsid w:val="005D0221"/>
    <w:rsid w:val="005D7989"/>
    <w:rsid w:val="00607E40"/>
    <w:rsid w:val="00620172"/>
    <w:rsid w:val="00637AF4"/>
    <w:rsid w:val="00654492"/>
    <w:rsid w:val="006A3559"/>
    <w:rsid w:val="006E1EBE"/>
    <w:rsid w:val="00702FD9"/>
    <w:rsid w:val="00707C5E"/>
    <w:rsid w:val="00761EDF"/>
    <w:rsid w:val="0078479C"/>
    <w:rsid w:val="00786F12"/>
    <w:rsid w:val="007A6FF8"/>
    <w:rsid w:val="007B1A9F"/>
    <w:rsid w:val="007B7F69"/>
    <w:rsid w:val="007C6B9F"/>
    <w:rsid w:val="007D1A3E"/>
    <w:rsid w:val="007D1EB6"/>
    <w:rsid w:val="007D70D1"/>
    <w:rsid w:val="007E2E61"/>
    <w:rsid w:val="008158E0"/>
    <w:rsid w:val="008B334B"/>
    <w:rsid w:val="008D4ABC"/>
    <w:rsid w:val="008D5159"/>
    <w:rsid w:val="008F5210"/>
    <w:rsid w:val="00901D5F"/>
    <w:rsid w:val="00904392"/>
    <w:rsid w:val="00936B20"/>
    <w:rsid w:val="009935E2"/>
    <w:rsid w:val="00995735"/>
    <w:rsid w:val="009A2205"/>
    <w:rsid w:val="009A2781"/>
    <w:rsid w:val="009A5A98"/>
    <w:rsid w:val="009B4727"/>
    <w:rsid w:val="009B7EAC"/>
    <w:rsid w:val="009D4521"/>
    <w:rsid w:val="00A0662C"/>
    <w:rsid w:val="00A634FC"/>
    <w:rsid w:val="00A73454"/>
    <w:rsid w:val="00AC160A"/>
    <w:rsid w:val="00AC3321"/>
    <w:rsid w:val="00AC3669"/>
    <w:rsid w:val="00AD109C"/>
    <w:rsid w:val="00B13397"/>
    <w:rsid w:val="00B261BC"/>
    <w:rsid w:val="00B37819"/>
    <w:rsid w:val="00B93707"/>
    <w:rsid w:val="00BA282F"/>
    <w:rsid w:val="00BC1974"/>
    <w:rsid w:val="00BC2416"/>
    <w:rsid w:val="00BF2310"/>
    <w:rsid w:val="00BF5227"/>
    <w:rsid w:val="00BF76C9"/>
    <w:rsid w:val="00C25CCA"/>
    <w:rsid w:val="00C94AE5"/>
    <w:rsid w:val="00C96DD4"/>
    <w:rsid w:val="00CC63A9"/>
    <w:rsid w:val="00CE1F52"/>
    <w:rsid w:val="00CF017A"/>
    <w:rsid w:val="00D37B22"/>
    <w:rsid w:val="00D533A1"/>
    <w:rsid w:val="00D552BE"/>
    <w:rsid w:val="00D96802"/>
    <w:rsid w:val="00D972CA"/>
    <w:rsid w:val="00DB1589"/>
    <w:rsid w:val="00DC52EF"/>
    <w:rsid w:val="00DD0421"/>
    <w:rsid w:val="00DF3B69"/>
    <w:rsid w:val="00E07C8C"/>
    <w:rsid w:val="00E11717"/>
    <w:rsid w:val="00E41913"/>
    <w:rsid w:val="00E626A4"/>
    <w:rsid w:val="00E97467"/>
    <w:rsid w:val="00EC372B"/>
    <w:rsid w:val="00ED1794"/>
    <w:rsid w:val="00F0663F"/>
    <w:rsid w:val="00F3003D"/>
    <w:rsid w:val="00F31C26"/>
    <w:rsid w:val="00F64E49"/>
    <w:rsid w:val="00F85DCD"/>
    <w:rsid w:val="00FA321C"/>
    <w:rsid w:val="00FB7CA0"/>
    <w:rsid w:val="00FC2572"/>
    <w:rsid w:val="00FE5DE6"/>
    <w:rsid w:val="00FE7A5D"/>
    <w:rsid w:val="00FF2D47"/>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181C"/>
  <w15:docId w15:val="{B7DAB1C9-AC67-4132-B58F-80C944F9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qFormat/>
    <w:rsid w:val="00AD1DD6"/>
  </w:style>
  <w:style w:type="character" w:customStyle="1" w:styleId="PiedepginaCar">
    <w:name w:val="Pie de página Car"/>
    <w:basedOn w:val="Fuentedeprrafopredeter"/>
    <w:link w:val="Piedepgina"/>
    <w:uiPriority w:val="99"/>
    <w:qFormat/>
    <w:rsid w:val="00AD1DD6"/>
  </w:style>
  <w:style w:type="character" w:customStyle="1" w:styleId="TextodegloboCar">
    <w:name w:val="Texto de globo Car"/>
    <w:basedOn w:val="Fuentedeprrafopredeter"/>
    <w:link w:val="Textodeglobo"/>
    <w:uiPriority w:val="99"/>
    <w:semiHidden/>
    <w:qFormat/>
    <w:rsid w:val="00AD1DD6"/>
    <w:rPr>
      <w:rFonts w:ascii="Tahoma" w:hAnsi="Tahoma" w:cs="Tahoma"/>
      <w:sz w:val="16"/>
      <w:szCs w:val="16"/>
    </w:rPr>
  </w:style>
  <w:style w:type="character" w:styleId="Textodelmarcadordeposicin">
    <w:name w:val="Placeholder Text"/>
    <w:basedOn w:val="Fuentedeprrafopredeter"/>
    <w:uiPriority w:val="99"/>
    <w:semiHidden/>
    <w:qFormat/>
    <w:rsid w:val="00466946"/>
    <w:rPr>
      <w:color w:val="808080"/>
    </w:rPr>
  </w:style>
  <w:style w:type="character" w:customStyle="1" w:styleId="InternetLink">
    <w:name w:val="Internet Link"/>
    <w:basedOn w:val="Fuentedeprrafopredeter"/>
    <w:uiPriority w:val="99"/>
    <w:unhideWhenUsed/>
    <w:qFormat/>
    <w:rsid w:val="00203878"/>
    <w:rPr>
      <w:color w:val="0000FF" w:themeColor="hyperlink"/>
      <w:u w:val="single"/>
    </w:rPr>
  </w:style>
  <w:style w:type="character" w:styleId="Hipervnculo">
    <w:name w:val="Hyperlink"/>
    <w:rPr>
      <w:color w:val="000080"/>
      <w:u w:val="single"/>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Textoindependiente"/>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beceraypieuser">
    <w:name w:val="Cabecera y pie (user)"/>
    <w:basedOn w:val="Normal"/>
    <w:qFormat/>
  </w:style>
  <w:style w:type="paragraph" w:customStyle="1" w:styleId="Cabeceraypie">
    <w:name w:val="Cabecera y pie"/>
    <w:basedOn w:val="Normal"/>
    <w:qFormat/>
  </w:style>
  <w:style w:type="paragraph" w:styleId="Encabezado">
    <w:name w:val="header"/>
    <w:basedOn w:val="Normal"/>
    <w:link w:val="EncabezadoCar"/>
    <w:unhideWhenUsed/>
    <w:rsid w:val="00AD1DD6"/>
    <w:pPr>
      <w:tabs>
        <w:tab w:val="center" w:pos="4419"/>
        <w:tab w:val="right" w:pos="8838"/>
      </w:tabs>
      <w:spacing w:after="0" w:line="240" w:lineRule="auto"/>
    </w:pPr>
  </w:style>
  <w:style w:type="paragraph" w:styleId="Piedepgina">
    <w:name w:val="footer"/>
    <w:basedOn w:val="Normal"/>
    <w:link w:val="PiedepginaCar"/>
    <w:uiPriority w:val="99"/>
    <w:unhideWhenUsed/>
    <w:rsid w:val="00AD1DD6"/>
    <w:pPr>
      <w:tabs>
        <w:tab w:val="center" w:pos="4419"/>
        <w:tab w:val="right" w:pos="8838"/>
      </w:tabs>
      <w:spacing w:after="0" w:line="240" w:lineRule="auto"/>
    </w:pPr>
  </w:style>
  <w:style w:type="paragraph" w:styleId="Textodeglobo">
    <w:name w:val="Balloon Text"/>
    <w:basedOn w:val="Normal"/>
    <w:link w:val="TextodegloboCar"/>
    <w:uiPriority w:val="99"/>
    <w:semiHidden/>
    <w:unhideWhenUsed/>
    <w:qFormat/>
    <w:rsid w:val="00AD1DD6"/>
    <w:pPr>
      <w:spacing w:after="0" w:line="240" w:lineRule="auto"/>
    </w:pPr>
    <w:rPr>
      <w:rFonts w:ascii="Tahoma" w:hAnsi="Tahoma" w:cs="Tahoma"/>
      <w:sz w:val="16"/>
      <w:szCs w:val="16"/>
    </w:rPr>
  </w:style>
  <w:style w:type="paragraph" w:styleId="Prrafodelista">
    <w:name w:val="List Paragraph"/>
    <w:basedOn w:val="Normal"/>
    <w:uiPriority w:val="34"/>
    <w:qFormat/>
    <w:rsid w:val="00595D53"/>
    <w:pPr>
      <w:ind w:left="720"/>
      <w:contextualSpacing/>
    </w:pPr>
  </w:style>
  <w:style w:type="paragraph" w:styleId="Sinespaciado">
    <w:name w:val="No Spacing"/>
    <w:uiPriority w:val="1"/>
    <w:qFormat/>
    <w:rsid w:val="00A0013B"/>
  </w:style>
  <w:style w:type="paragraph" w:customStyle="1" w:styleId="Contenidodelmarcouser">
    <w:name w:val="Contenido del marco (user)"/>
    <w:basedOn w:val="Normal"/>
    <w:qFormat/>
  </w:style>
  <w:style w:type="numbering" w:customStyle="1" w:styleId="Ningunalista">
    <w:name w:val="Ninguna lista"/>
    <w:uiPriority w:val="99"/>
    <w:semiHidden/>
    <w:unhideWhenUsed/>
    <w:qFormat/>
  </w:style>
  <w:style w:type="table" w:styleId="Tablaconcuadrcula">
    <w:name w:val="Table Grid"/>
    <w:basedOn w:val="Tablanormal"/>
    <w:uiPriority w:val="59"/>
    <w:rsid w:val="0059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AC3321"/>
    <w:rPr>
      <w:color w:val="605E5C"/>
      <w:shd w:val="clear" w:color="auto" w:fill="E1DFDD"/>
    </w:rPr>
  </w:style>
  <w:style w:type="paragraph" w:styleId="NormalWeb">
    <w:name w:val="Normal (Web)"/>
    <w:basedOn w:val="Normal"/>
    <w:uiPriority w:val="99"/>
    <w:semiHidden/>
    <w:unhideWhenUsed/>
    <w:rsid w:val="00C96DD4"/>
    <w:rPr>
      <w:rFonts w:ascii="Times New Roman" w:hAnsi="Times New Roman" w:cs="Times New Roman"/>
      <w:sz w:val="24"/>
      <w:szCs w:val="24"/>
    </w:rPr>
  </w:style>
  <w:style w:type="character" w:styleId="Mencinsinresolver">
    <w:name w:val="Unresolved Mention"/>
    <w:basedOn w:val="Fuentedeprrafopredeter"/>
    <w:uiPriority w:val="99"/>
    <w:semiHidden/>
    <w:unhideWhenUsed/>
    <w:rsid w:val="00C96DD4"/>
    <w:rPr>
      <w:color w:val="605E5C"/>
      <w:shd w:val="clear" w:color="auto" w:fill="E1DFDD"/>
    </w:rPr>
  </w:style>
  <w:style w:type="character" w:styleId="Hipervnculovisitado">
    <w:name w:val="FollowedHyperlink"/>
    <w:basedOn w:val="Fuentedeprrafopredeter"/>
    <w:uiPriority w:val="99"/>
    <w:semiHidden/>
    <w:unhideWhenUsed/>
    <w:rsid w:val="00473F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34234">
      <w:bodyDiv w:val="1"/>
      <w:marLeft w:val="0"/>
      <w:marRight w:val="0"/>
      <w:marTop w:val="0"/>
      <w:marBottom w:val="0"/>
      <w:divBdr>
        <w:top w:val="none" w:sz="0" w:space="0" w:color="auto"/>
        <w:left w:val="none" w:sz="0" w:space="0" w:color="auto"/>
        <w:bottom w:val="none" w:sz="0" w:space="0" w:color="auto"/>
        <w:right w:val="none" w:sz="0" w:space="0" w:color="auto"/>
      </w:divBdr>
    </w:div>
    <w:div w:id="1646735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lmerstic_13@hot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20A0-2984-4DE7-8370-72CA85F5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6179</Words>
  <Characters>33989</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dc:description/>
  <cp:lastModifiedBy>carlos emiro navarro paez</cp:lastModifiedBy>
  <cp:revision>2</cp:revision>
  <cp:lastPrinted>2026-02-23T21:16:00Z</cp:lastPrinted>
  <dcterms:created xsi:type="dcterms:W3CDTF">2026-06-12T14:24:00Z</dcterms:created>
  <dcterms:modified xsi:type="dcterms:W3CDTF">2026-06-12T14:24:00Z</dcterms:modified>
  <dc:language>es-CO</dc:language>
</cp:coreProperties>
</file>